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hd w:fill="FDF0E6" w:val="clear"/>
        <w:spacing w:after="160"/>
      </w:pPr>
      <w:r>
        <w:rPr>
          <w:rFonts w:ascii="Calibri" w:cs="Calibri" w:eastAsia="Calibri" w:hAnsi="Calibri"/>
          <w:i/>
          <w:iCs/>
          <w:color w:val="666666"/>
          <w:sz w:val="18"/>
          <w:szCs w:val="18"/>
        </w:rPr>
        <w:t xml:space="preserve">EXAMPLE TEMPLATE. DRAFT ONLY. This document is a starting point from another MSP's practice, not legal advice. Have an attorney licensed in {{STATE}} review and adapt it before any use. Bracketed fields are per-project entries; guidance notes in brackets are for the drafter and get deleted.</w:t>
      </w:r>
    </w:p>
    <w:p>
      <w:pPr>
        <w:spacing w:after="60"/>
      </w:pPr>
      <w:r>
        <w:rPr>
          <w:rFonts w:ascii="Calibri" w:cs="Calibri" w:eastAsia="Calibri" w:hAnsi="Calibri"/>
          <w:b/>
          <w:bCs/>
          <w:color w:val="1A1A1A"/>
          <w:sz w:val="28"/>
          <w:szCs w:val="28"/>
        </w:rPr>
        <w:t xml:space="preserve">{{COMPANY_LEGAL_NAME}}</w:t>
      </w:r>
    </w:p>
    <w:p>
      <w:pPr>
        <w:spacing w:after="40"/>
      </w:pPr>
      <w:r>
        <w:rPr>
          <w:rFonts w:ascii="Calibri" w:cs="Calibri" w:eastAsia="Calibri" w:hAnsi="Calibri"/>
          <w:b/>
          <w:bCs/>
          <w:color w:val="1A1A1A"/>
          <w:sz w:val="40"/>
          <w:szCs w:val="40"/>
        </w:rPr>
        <w:t xml:space="preserve">STATEMENT OF WORK</w:t>
      </w:r>
    </w:p>
    <w:p>
      <w:pPr>
        <w:pBdr>
          <w:bottom w:val="single" w:color="E57D31" w:sz="12"/>
        </w:pBdr>
        <w:spacing w:after="240"/>
      </w:pPr>
      <w:r>
        <w:rPr>
          <w:rFonts w:ascii="Calibri" w:cs="Calibri" w:eastAsia="Calibri" w:hAnsi="Calibri"/>
          <w:color w:val="666666"/>
          <w:sz w:val="22"/>
          <w:szCs w:val="22"/>
        </w:rPr>
        <w:t xml:space="preserve">SOW No. [___] under the Master Services Agreement</w:t>
      </w:r>
    </w:p>
    <w:p>
      <w:pPr>
        <w:pStyle w:val="Heading1"/>
        <w:spacing w:after="120" w:before="280"/>
      </w:pPr>
      <w:r>
        <w:rPr>
          <w:rFonts w:ascii="Calibri" w:cs="Calibri" w:eastAsia="Calibri" w:hAnsi="Calibri"/>
          <w:b/>
          <w:bCs/>
          <w:color w:val="E57D31"/>
          <w:sz w:val="26"/>
          <w:szCs w:val="26"/>
        </w:rPr>
        <w:t xml:space="preserve">1. Parties and Agreement</w:t>
      </w:r>
    </w:p>
    <w:p>
      <w:pPr>
        <w:spacing w:after="120"/>
      </w:pPr>
      <w:r>
        <w:rPr>
          <w:rFonts w:ascii="Calibri" w:cs="Calibri" w:eastAsia="Calibri" w:hAnsi="Calibri"/>
          <w:color w:val="1A1A1A"/>
          <w:sz w:val="21"/>
          <w:szCs w:val="21"/>
        </w:rPr>
        <w:t xml:space="preserve">This Statement of Work (the "SOW") is entered into as of [Effective Date] by {{COMPANY_LEGAL_NAME}} ("Provider") and [Client legal name] ("Client"), and is governed by the Master Services Agreement between the parties dated [MSA date] (the "MSA"). Capitalized terms used but not defined in this SOW have the meanings given in the MSA. If this SOW conflicts with the MSA, the MSA governs, except that the commercial terms stated in this SOW (deliverables, price, timeline, and acceptance) govern this project.</w:t>
      </w:r>
    </w:p>
    <w:p>
      <w:pPr>
        <w:pStyle w:val="Heading1"/>
        <w:spacing w:after="120" w:before="280"/>
      </w:pPr>
      <w:r>
        <w:rPr>
          <w:rFonts w:ascii="Calibri" w:cs="Calibri" w:eastAsia="Calibri" w:hAnsi="Calibri"/>
          <w:b/>
          <w:bCs/>
          <w:color w:val="E57D31"/>
          <w:sz w:val="26"/>
          <w:szCs w:val="26"/>
        </w:rPr>
        <w:t xml:space="preserve">2. Project Description</w:t>
      </w:r>
    </w:p>
    <w:p>
      <w:pPr>
        <w:spacing w:after="120"/>
      </w:pPr>
      <w:r>
        <w:rPr>
          <w:rFonts w:ascii="Calibri" w:cs="Calibri" w:eastAsia="Calibri" w:hAnsi="Calibri"/>
          <w:color w:val="1A1A1A"/>
          <w:sz w:val="21"/>
          <w:szCs w:val="21"/>
        </w:rPr>
        <w:t xml:space="preserve">[Two to four sentences: what the project is, why Client wants it, and what done looks like. Example: migrate Client's email and shared files from the on-premises server to a cloud email and productivity platform for 12 users, retire the old server, and hand off documentation.]</w:t>
      </w:r>
    </w:p>
    <w:p>
      <w:pPr>
        <w:pStyle w:val="Heading1"/>
        <w:spacing w:after="120" w:before="280"/>
      </w:pPr>
      <w:r>
        <w:rPr>
          <w:rFonts w:ascii="Calibri" w:cs="Calibri" w:eastAsia="Calibri" w:hAnsi="Calibri"/>
          <w:b/>
          <w:bCs/>
          <w:color w:val="E57D31"/>
          <w:sz w:val="26"/>
          <w:szCs w:val="26"/>
        </w:rPr>
        <w:t xml:space="preserve">3. Deliverables</w:t>
      </w:r>
    </w:p>
    <w:p>
      <w:pPr>
        <w:spacing w:after="120"/>
      </w:pPr>
      <w:r>
        <w:rPr>
          <w:rFonts w:ascii="Calibri" w:cs="Calibri" w:eastAsia="Calibri" w:hAnsi="Calibri"/>
          <w:color w:val="1A1A1A"/>
          <w:sz w:val="21"/>
          <w:szCs w:val="21"/>
        </w:rPr>
        <w:t xml:space="preserve">Provider will deliver the following. Anything not listed here is out of scope (see Section 4).</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6240"/>
      </w:tblGrid>
      <w:tr>
        <w:tc>
          <w:tcPr>
            <w:tcW w:type="dxa" w:w="3120"/>
            <w:shd w:fill="FDF0E6" w:val="clear"/>
            <w:tcMar>
              <w:top w:type="dxa" w:w="60"/>
              <w:left w:type="dxa" w:w="100"/>
              <w:bottom w:type="dxa" w:w="60"/>
              <w:right w:type="dxa" w:w="100"/>
            </w:tcMar>
          </w:tcPr>
          <w:p>
            <w:r>
              <w:rPr>
                <w:rFonts w:ascii="Calibri" w:cs="Calibri" w:eastAsia="Calibri" w:hAnsi="Calibri"/>
                <w:b/>
                <w:bCs/>
                <w:color w:val="1A1A1A"/>
                <w:sz w:val="20"/>
                <w:szCs w:val="20"/>
              </w:rPr>
              <w:t xml:space="preserve">Deliverable</w:t>
            </w:r>
          </w:p>
        </w:tc>
        <w:tc>
          <w:tcPr>
            <w:tcW w:type="dxa" w:w="6240"/>
            <w:shd w:fill="FDF0E6" w:val="clear"/>
            <w:tcMar>
              <w:top w:type="dxa" w:w="60"/>
              <w:left w:type="dxa" w:w="100"/>
              <w:bottom w:type="dxa" w:w="60"/>
              <w:right w:type="dxa" w:w="100"/>
            </w:tcMar>
          </w:tcPr>
          <w:p>
            <w:r>
              <w:rPr>
                <w:rFonts w:ascii="Calibri" w:cs="Calibri" w:eastAsia="Calibri" w:hAnsi="Calibri"/>
                <w:b/>
                <w:bCs/>
                <w:color w:val="1A1A1A"/>
                <w:sz w:val="20"/>
                <w:szCs w:val="20"/>
              </w:rPr>
              <w:t xml:space="preserve">Description and "done" definition</w:t>
            </w:r>
          </w:p>
        </w:tc>
      </w:tr>
      <w:tr>
        <w:tc>
          <w:tcPr>
            <w:tcW w:type="dxa" w:w="3120"/>
            <w:tcMar>
              <w:top w:type="dxa" w:w="60"/>
              <w:left w:type="dxa" w:w="100"/>
              <w:bottom w:type="dxa" w:w="60"/>
              <w:right w:type="dxa" w:w="100"/>
            </w:tcMar>
          </w:tcPr>
          <w:p>
            <w:r>
              <w:rPr>
                <w:rFonts w:ascii="Calibri" w:cs="Calibri" w:eastAsia="Calibri" w:hAnsi="Calibri"/>
                <w:b w:val="false"/>
                <w:bCs w:val="false"/>
                <w:color w:val="1A1A1A"/>
                <w:sz w:val="20"/>
                <w:szCs w:val="20"/>
              </w:rPr>
              <w:t xml:space="preserve">[Deliverable 1]</w:t>
            </w:r>
          </w:p>
        </w:tc>
        <w:tc>
          <w:tcPr>
            <w:tcW w:type="dxa" w:w="6240"/>
            <w:tcMar>
              <w:top w:type="dxa" w:w="60"/>
              <w:left w:type="dxa" w:w="100"/>
              <w:bottom w:type="dxa" w:w="60"/>
              <w:right w:type="dxa" w:w="100"/>
            </w:tcMar>
          </w:tcPr>
          <w:p>
            <w:r>
              <w:rPr>
                <w:rFonts w:ascii="Calibri" w:cs="Calibri" w:eastAsia="Calibri" w:hAnsi="Calibri"/>
                <w:b w:val="false"/>
                <w:bCs w:val="false"/>
                <w:color w:val="1A1A1A"/>
                <w:sz w:val="20"/>
                <w:szCs w:val="20"/>
              </w:rPr>
              <w:t xml:space="preserve">[What it is and how both parties will know it is complete]</w:t>
            </w:r>
          </w:p>
        </w:tc>
      </w:tr>
      <w:tr>
        <w:tc>
          <w:tcPr>
            <w:tcW w:type="dxa" w:w="3120"/>
            <w:tcMar>
              <w:top w:type="dxa" w:w="60"/>
              <w:left w:type="dxa" w:w="100"/>
              <w:bottom w:type="dxa" w:w="60"/>
              <w:right w:type="dxa" w:w="100"/>
            </w:tcMar>
          </w:tcPr>
          <w:p>
            <w:r>
              <w:rPr>
                <w:rFonts w:ascii="Calibri" w:cs="Calibri" w:eastAsia="Calibri" w:hAnsi="Calibri"/>
                <w:b w:val="false"/>
                <w:bCs w:val="false"/>
                <w:color w:val="1A1A1A"/>
                <w:sz w:val="20"/>
                <w:szCs w:val="20"/>
              </w:rPr>
              <w:t xml:space="preserve">[Deliverable 2]</w:t>
            </w:r>
          </w:p>
        </w:tc>
        <w:tc>
          <w:tcPr>
            <w:tcW w:type="dxa" w:w="6240"/>
            <w:tcMar>
              <w:top w:type="dxa" w:w="60"/>
              <w:left w:type="dxa" w:w="100"/>
              <w:bottom w:type="dxa" w:w="60"/>
              <w:right w:type="dxa" w:w="100"/>
            </w:tcMar>
          </w:tcPr>
          <w:p>
            <w:r>
              <w:rPr>
                <w:rFonts w:ascii="Calibri" w:cs="Calibri" w:eastAsia="Calibri" w:hAnsi="Calibri"/>
                <w:b w:val="false"/>
                <w:bCs w:val="false"/>
                <w:color w:val="1A1A1A"/>
                <w:sz w:val="20"/>
                <w:szCs w:val="20"/>
              </w:rPr>
              <w:t xml:space="preserve">[...]</w:t>
            </w:r>
          </w:p>
        </w:tc>
      </w:tr>
      <w:tr>
        <w:tc>
          <w:tcPr>
            <w:tcW w:type="dxa" w:w="3120"/>
            <w:tcMar>
              <w:top w:type="dxa" w:w="60"/>
              <w:left w:type="dxa" w:w="100"/>
              <w:bottom w:type="dxa" w:w="60"/>
              <w:right w:type="dxa" w:w="100"/>
            </w:tcMar>
          </w:tcPr>
          <w:p>
            <w:r>
              <w:rPr>
                <w:rFonts w:ascii="Calibri" w:cs="Calibri" w:eastAsia="Calibri" w:hAnsi="Calibri"/>
                <w:b w:val="false"/>
                <w:bCs w:val="false"/>
                <w:color w:val="1A1A1A"/>
                <w:sz w:val="20"/>
                <w:szCs w:val="20"/>
              </w:rPr>
              <w:t xml:space="preserve">[Deliverable 3]</w:t>
            </w:r>
          </w:p>
        </w:tc>
        <w:tc>
          <w:tcPr>
            <w:tcW w:type="dxa" w:w="6240"/>
            <w:tcMar>
              <w:top w:type="dxa" w:w="60"/>
              <w:left w:type="dxa" w:w="100"/>
              <w:bottom w:type="dxa" w:w="60"/>
              <w:right w:type="dxa" w:w="100"/>
            </w:tcMar>
          </w:tcPr>
          <w:p>
            <w:r>
              <w:rPr>
                <w:rFonts w:ascii="Calibri" w:cs="Calibri" w:eastAsia="Calibri" w:hAnsi="Calibri"/>
                <w:b w:val="false"/>
                <w:bCs w:val="false"/>
                <w:color w:val="1A1A1A"/>
                <w:sz w:val="20"/>
                <w:szCs w:val="20"/>
              </w:rPr>
              <w:t xml:space="preserve">[...]</w:t>
            </w:r>
          </w:p>
        </w:tc>
      </w:tr>
      <w:tr>
        <w:tc>
          <w:tcPr>
            <w:tcW w:type="dxa" w:w="3120"/>
            <w:tcMar>
              <w:top w:type="dxa" w:w="60"/>
              <w:left w:type="dxa" w:w="100"/>
              <w:bottom w:type="dxa" w:w="60"/>
              <w:right w:type="dxa" w:w="100"/>
            </w:tcMar>
          </w:tcPr>
          <w:p>
            <w:r>
              <w:rPr>
                <w:rFonts w:ascii="Calibri" w:cs="Calibri" w:eastAsia="Calibri" w:hAnsi="Calibri"/>
                <w:b w:val="false"/>
                <w:bCs w:val="false"/>
                <w:color w:val="1A1A1A"/>
                <w:sz w:val="20"/>
                <w:szCs w:val="20"/>
              </w:rPr>
              <w:t xml:space="preserve">Handoff documentation</w:t>
            </w:r>
          </w:p>
        </w:tc>
        <w:tc>
          <w:tcPr>
            <w:tcW w:type="dxa" w:w="6240"/>
            <w:tcMar>
              <w:top w:type="dxa" w:w="60"/>
              <w:left w:type="dxa" w:w="100"/>
              <w:bottom w:type="dxa" w:w="60"/>
              <w:right w:type="dxa" w:w="100"/>
            </w:tcMar>
          </w:tcPr>
          <w:p>
            <w:r>
              <w:rPr>
                <w:rFonts w:ascii="Calibri" w:cs="Calibri" w:eastAsia="Calibri" w:hAnsi="Calibri"/>
                <w:b w:val="false"/>
                <w:bCs w:val="false"/>
                <w:color w:val="1A1A1A"/>
                <w:sz w:val="20"/>
                <w:szCs w:val="20"/>
              </w:rPr>
              <w:t xml:space="preserve">[What documentation is included, for example: admin credentials list, configuration summary, one handoff session of up to [n] hour(s)]</w:t>
            </w:r>
          </w:p>
        </w:tc>
      </w:tr>
    </w:tbl>
    <w:p>
      <w:pPr>
        <w:pStyle w:val="Heading1"/>
        <w:spacing w:after="120" w:before="280"/>
      </w:pPr>
      <w:r>
        <w:rPr>
          <w:rFonts w:ascii="Calibri" w:cs="Calibri" w:eastAsia="Calibri" w:hAnsi="Calibri"/>
          <w:b/>
          <w:bCs/>
          <w:color w:val="E57D31"/>
          <w:sz w:val="26"/>
          <w:szCs w:val="26"/>
        </w:rPr>
        <w:t xml:space="preserve">4. Assumptions and Exclusions</w:t>
      </w:r>
    </w:p>
    <w:p>
      <w:pPr>
        <w:spacing w:after="120"/>
      </w:pPr>
      <w:r>
        <w:rPr>
          <w:rFonts w:ascii="Calibri" w:cs="Calibri" w:eastAsia="Calibri" w:hAnsi="Calibri"/>
          <w:b/>
          <w:bCs/>
          <w:color w:val="1A1A1A"/>
          <w:sz w:val="21"/>
          <w:szCs w:val="21"/>
        </w:rPr>
        <w:t xml:space="preserve">(a) Assumptions.</w:t>
      </w:r>
    </w:p>
    <w:p>
      <w:pPr>
        <w:spacing w:after="120"/>
      </w:pPr>
      <w:r>
        <w:rPr>
          <w:rFonts w:ascii="Calibri" w:cs="Calibri" w:eastAsia="Calibri" w:hAnsi="Calibri"/>
          <w:color w:val="1A1A1A"/>
          <w:sz w:val="21"/>
          <w:szCs w:val="21"/>
        </w:rPr>
        <w:t xml:space="preserve">This SOW is scoped and priced on the assumptions below. If an assumption proves wrong, the difference is handled by Change Order under Section 9, not absorbed.</w:t>
      </w:r>
    </w:p>
    <w:p>
      <w:pPr>
        <w:pStyle w:val="ListParagraph"/>
        <w:numPr>
          <w:ilvl w:val="0"/>
          <w:numId w:val="2"/>
        </w:numPr>
        <w:spacing w:after="80"/>
      </w:pPr>
      <w:r>
        <w:rPr>
          <w:rFonts w:ascii="Calibri" w:cs="Calibri" w:eastAsia="Calibri" w:hAnsi="Calibri"/>
          <w:color w:val="1A1A1A"/>
          <w:sz w:val="21"/>
          <w:szCs w:val="21"/>
        </w:rPr>
        <w:t xml:space="preserve">[Environment: e.g., the existing server is functional and its data is readable]</w:t>
      </w:r>
    </w:p>
    <w:p>
      <w:pPr>
        <w:pStyle w:val="ListParagraph"/>
        <w:numPr>
          <w:ilvl w:val="0"/>
          <w:numId w:val="2"/>
        </w:numPr>
        <w:spacing w:after="80"/>
      </w:pPr>
      <w:r>
        <w:rPr>
          <w:rFonts w:ascii="Calibri" w:cs="Calibri" w:eastAsia="Calibri" w:hAnsi="Calibri"/>
          <w:color w:val="1A1A1A"/>
          <w:sz w:val="21"/>
          <w:szCs w:val="21"/>
        </w:rPr>
        <w:t xml:space="preserve">[Counts: no more than [n] users, [n] mailboxes, [n] GB of data per user]</w:t>
      </w:r>
    </w:p>
    <w:p>
      <w:pPr>
        <w:pStyle w:val="ListParagraph"/>
        <w:numPr>
          <w:ilvl w:val="0"/>
          <w:numId w:val="2"/>
        </w:numPr>
        <w:spacing w:after="80"/>
      </w:pPr>
      <w:r>
        <w:rPr>
          <w:rFonts w:ascii="Calibri" w:cs="Calibri" w:eastAsia="Calibri" w:hAnsi="Calibri"/>
          <w:color w:val="1A1A1A"/>
          <w:sz w:val="21"/>
          <w:szCs w:val="21"/>
        </w:rPr>
        <w:t xml:space="preserve">[Access: Provider receives the access and credentials listed in Section 7 on time]</w:t>
      </w:r>
    </w:p>
    <w:p>
      <w:pPr>
        <w:pStyle w:val="ListParagraph"/>
        <w:numPr>
          <w:ilvl w:val="0"/>
          <w:numId w:val="2"/>
        </w:numPr>
        <w:spacing w:after="80"/>
      </w:pPr>
      <w:r>
        <w:rPr>
          <w:rFonts w:ascii="Calibri" w:cs="Calibri" w:eastAsia="Calibri" w:hAnsi="Calibri"/>
          <w:color w:val="1A1A1A"/>
          <w:sz w:val="21"/>
          <w:szCs w:val="21"/>
        </w:rPr>
        <w:t xml:space="preserve">[Licensing: Client holds, or will purchase, the licenses required for the target platform]</w:t>
      </w:r>
    </w:p>
    <w:p>
      <w:pPr>
        <w:spacing w:after="120"/>
      </w:pPr>
      <w:r>
        <w:rPr>
          <w:rFonts w:ascii="Calibri" w:cs="Calibri" w:eastAsia="Calibri" w:hAnsi="Calibri"/>
          <w:b/>
          <w:bCs/>
          <w:color w:val="1A1A1A"/>
          <w:sz w:val="21"/>
          <w:szCs w:val="21"/>
        </w:rPr>
        <w:t xml:space="preserve">(b) Exclusions.</w:t>
      </w:r>
    </w:p>
    <w:p>
      <w:pPr>
        <w:spacing w:after="120"/>
      </w:pPr>
      <w:r>
        <w:rPr>
          <w:rFonts w:ascii="Calibri" w:cs="Calibri" w:eastAsia="Calibri" w:hAnsi="Calibri"/>
          <w:color w:val="1A1A1A"/>
          <w:sz w:val="21"/>
          <w:szCs w:val="21"/>
        </w:rPr>
        <w:t xml:space="preserve">The following are NOT included in this SOW. [Drafter: name what is excluded, concretely. The exclusions list is the scope fence; be specific about the adjacent work this project does not cover.]</w:t>
      </w:r>
    </w:p>
    <w:p>
      <w:pPr>
        <w:pStyle w:val="ListParagraph"/>
        <w:numPr>
          <w:ilvl w:val="0"/>
          <w:numId w:val="2"/>
        </w:numPr>
        <w:spacing w:after="80"/>
      </w:pPr>
      <w:r>
        <w:rPr>
          <w:rFonts w:ascii="Calibri" w:cs="Calibri" w:eastAsia="Calibri" w:hAnsi="Calibri"/>
          <w:color w:val="1A1A1A"/>
          <w:sz w:val="21"/>
          <w:szCs w:val="21"/>
        </w:rPr>
        <w:t xml:space="preserve">[Systems not named in Section 3, e.g., the phone system, the door controller, the label printers]</w:t>
      </w:r>
    </w:p>
    <w:p>
      <w:pPr>
        <w:pStyle w:val="ListParagraph"/>
        <w:numPr>
          <w:ilvl w:val="0"/>
          <w:numId w:val="2"/>
        </w:numPr>
        <w:spacing w:after="80"/>
      </w:pPr>
      <w:r>
        <w:rPr>
          <w:rFonts w:ascii="Calibri" w:cs="Calibri" w:eastAsia="Calibri" w:hAnsi="Calibri"/>
          <w:color w:val="1A1A1A"/>
          <w:sz w:val="21"/>
          <w:szCs w:val="21"/>
        </w:rPr>
        <w:t xml:space="preserve">[Data work beyond the stated limits, e.g., archive or PST cleanup, migration of departed-user mailboxes]</w:t>
      </w:r>
    </w:p>
    <w:p>
      <w:pPr>
        <w:pStyle w:val="ListParagraph"/>
        <w:numPr>
          <w:ilvl w:val="0"/>
          <w:numId w:val="2"/>
        </w:numPr>
        <w:spacing w:after="80"/>
      </w:pPr>
      <w:r>
        <w:rPr>
          <w:rFonts w:ascii="Calibri" w:cs="Calibri" w:eastAsia="Calibri" w:hAnsi="Calibri"/>
          <w:color w:val="1A1A1A"/>
          <w:sz w:val="21"/>
          <w:szCs w:val="21"/>
        </w:rPr>
        <w:t xml:space="preserve">[Training beyond the included handoff session]</w:t>
      </w:r>
    </w:p>
    <w:p>
      <w:pPr>
        <w:pStyle w:val="ListParagraph"/>
        <w:numPr>
          <w:ilvl w:val="0"/>
          <w:numId w:val="2"/>
        </w:numPr>
        <w:spacing w:after="80"/>
      </w:pPr>
      <w:r>
        <w:rPr>
          <w:rFonts w:ascii="Calibri" w:cs="Calibri" w:eastAsia="Calibri" w:hAnsi="Calibri"/>
          <w:color w:val="1A1A1A"/>
          <w:sz w:val="21"/>
          <w:szCs w:val="21"/>
        </w:rPr>
        <w:t xml:space="preserve">[Hardware, software licenses, and subscriptions, which are purchased by Client or passed through per Section 5]</w:t>
      </w:r>
    </w:p>
    <w:p>
      <w:pPr>
        <w:pStyle w:val="ListParagraph"/>
        <w:numPr>
          <w:ilvl w:val="0"/>
          <w:numId w:val="2"/>
        </w:numPr>
        <w:spacing w:after="80"/>
      </w:pPr>
      <w:r>
        <w:rPr>
          <w:rFonts w:ascii="Calibri" w:cs="Calibri" w:eastAsia="Calibri" w:hAnsi="Calibri"/>
          <w:color w:val="1A1A1A"/>
          <w:sz w:val="21"/>
          <w:szCs w:val="21"/>
        </w:rPr>
        <w:t xml:space="preserve">[After-hours or weekend cutover work, unless it appears in the Section 6 timeline]</w:t>
      </w:r>
    </w:p>
    <w:p>
      <w:pPr>
        <w:pStyle w:val="ListParagraph"/>
        <w:numPr>
          <w:ilvl w:val="0"/>
          <w:numId w:val="2"/>
        </w:numPr>
        <w:spacing w:after="80"/>
      </w:pPr>
      <w:r>
        <w:rPr>
          <w:rFonts w:ascii="Calibri" w:cs="Calibri" w:eastAsia="Calibri" w:hAnsi="Calibri"/>
          <w:color w:val="1A1A1A"/>
          <w:sz w:val="21"/>
          <w:szCs w:val="21"/>
        </w:rPr>
        <w:t xml:space="preserve">Anything not listed as a deliverable in Section 3.</w:t>
      </w:r>
    </w:p>
    <w:p>
      <w:pPr>
        <w:pStyle w:val="Heading1"/>
        <w:spacing w:after="120" w:before="280"/>
      </w:pPr>
      <w:r>
        <w:rPr>
          <w:rFonts w:ascii="Calibri" w:cs="Calibri" w:eastAsia="Calibri" w:hAnsi="Calibri"/>
          <w:b/>
          <w:bCs/>
          <w:color w:val="E57D31"/>
          <w:sz w:val="26"/>
          <w:szCs w:val="26"/>
        </w:rPr>
        <w:t xml:space="preserve">5. Price and Billing Basis</w:t>
      </w:r>
    </w:p>
    <w:p>
      <w:pPr>
        <w:spacing w:after="120"/>
      </w:pPr>
      <w:r>
        <w:rPr>
          <w:rFonts w:ascii="Calibri" w:cs="Calibri" w:eastAsia="Calibri" w:hAnsi="Calibri"/>
          <w:color w:val="1A1A1A"/>
          <w:sz w:val="21"/>
          <w:szCs w:val="21"/>
        </w:rPr>
        <w:t xml:space="preserve">[Select basis (a) or (b) and delete the other.]</w:t>
      </w:r>
    </w:p>
    <w:p>
      <w:pPr>
        <w:spacing w:after="120"/>
      </w:pPr>
      <w:r>
        <w:rPr>
          <w:rFonts w:ascii="Calibri" w:cs="Calibri" w:eastAsia="Calibri" w:hAnsi="Calibri"/>
          <w:b/>
          <w:bCs/>
          <w:color w:val="1A1A1A"/>
          <w:sz w:val="21"/>
          <w:szCs w:val="21"/>
        </w:rPr>
        <w:t xml:space="preserve">(a) Fixed fee.</w:t>
      </w:r>
    </w:p>
    <w:p>
      <w:pPr>
        <w:spacing w:after="120"/>
      </w:pPr>
      <w:r>
        <w:rPr>
          <w:rFonts w:ascii="Calibri" w:cs="Calibri" w:eastAsia="Calibri" w:hAnsi="Calibri"/>
          <w:color w:val="1A1A1A"/>
          <w:sz w:val="21"/>
          <w:szCs w:val="21"/>
        </w:rPr>
        <w:t xml:space="preserve">The fee for this SOW is $[___], invoiced [in full on acceptance / [__]% on signing and the balance on acceptance / per the milestone table in Section 6].</w:t>
      </w:r>
    </w:p>
    <w:p>
      <w:pPr>
        <w:spacing w:after="120"/>
      </w:pPr>
      <w:r>
        <w:rPr>
          <w:rFonts w:ascii="Calibri" w:cs="Calibri" w:eastAsia="Calibri" w:hAnsi="Calibri"/>
          <w:b/>
          <w:bCs/>
          <w:color w:val="1A1A1A"/>
          <w:sz w:val="21"/>
          <w:szCs w:val="21"/>
        </w:rPr>
        <w:t xml:space="preserve">(b) Time and materials.</w:t>
      </w:r>
    </w:p>
    <w:p>
      <w:pPr>
        <w:spacing w:after="120"/>
      </w:pPr>
      <w:r>
        <w:rPr>
          <w:rFonts w:ascii="Calibri" w:cs="Calibri" w:eastAsia="Calibri" w:hAnsi="Calibri"/>
          <w:color w:val="1A1A1A"/>
          <w:sz w:val="21"/>
          <w:szCs w:val="21"/>
        </w:rPr>
        <w:t xml:space="preserve">Work is billed at Provider's rate card for clients under agreement: $110 per hour remote and $220 per hour on-site, with a 30-minute minimum for remote work and a 1-hour minimum for on-site work. The estimate for this SOW is [n] to [n] hours ($[___] to $[___]). The estimate is not a cap, but Provider will notify Client before exceeding the top of the range and will not proceed past it without Client's written approval.</w:t>
      </w:r>
    </w:p>
    <w:p>
      <w:pPr>
        <w:spacing w:after="120"/>
      </w:pPr>
      <w:r>
        <w:rPr>
          <w:rFonts w:ascii="Calibri" w:cs="Calibri" w:eastAsia="Calibri" w:hAnsi="Calibri"/>
          <w:color w:val="1A1A1A"/>
          <w:sz w:val="21"/>
          <w:szCs w:val="21"/>
        </w:rPr>
        <w:t xml:space="preserve">Either basis: after-hours work bills at 1.5x and holiday work at 2x the applicable rate, as stated in the MSA. Third-party costs (hardware, licenses, shipping) are [passed through at cost / listed in the attached quote] and are in addition to the fee above. Invoices are payable as provided in the MSA.</w:t>
      </w:r>
    </w:p>
    <w:p>
      <w:pPr>
        <w:pStyle w:val="Heading1"/>
        <w:spacing w:after="120" w:before="280"/>
      </w:pPr>
      <w:r>
        <w:rPr>
          <w:rFonts w:ascii="Calibri" w:cs="Calibri" w:eastAsia="Calibri" w:hAnsi="Calibri"/>
          <w:b/>
          <w:bCs/>
          <w:color w:val="E57D31"/>
          <w:sz w:val="26"/>
          <w:szCs w:val="26"/>
        </w:rPr>
        <w:t xml:space="preserve">6. Timeline and Milestones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900"/>
        <w:gridCol w:w="2340"/>
        <w:gridCol w:w="3120"/>
      </w:tblGrid>
      <w:tr>
        <w:tc>
          <w:tcPr>
            <w:tcW w:type="dxa" w:w="3900"/>
            <w:shd w:fill="FDF0E6" w:val="clear"/>
            <w:tcMar>
              <w:top w:type="dxa" w:w="60"/>
              <w:left w:type="dxa" w:w="100"/>
              <w:bottom w:type="dxa" w:w="60"/>
              <w:right w:type="dxa" w:w="100"/>
            </w:tcMar>
          </w:tcPr>
          <w:p>
            <w:r>
              <w:rPr>
                <w:rFonts w:ascii="Calibri" w:cs="Calibri" w:eastAsia="Calibri" w:hAnsi="Calibri"/>
                <w:b/>
                <w:bCs/>
                <w:color w:val="1A1A1A"/>
                <w:sz w:val="20"/>
                <w:szCs w:val="20"/>
              </w:rPr>
              <w:t xml:space="preserve">Milestone</w:t>
            </w:r>
          </w:p>
        </w:tc>
        <w:tc>
          <w:tcPr>
            <w:tcW w:type="dxa" w:w="2340"/>
            <w:shd w:fill="FDF0E6" w:val="clear"/>
            <w:tcMar>
              <w:top w:type="dxa" w:w="60"/>
              <w:left w:type="dxa" w:w="100"/>
              <w:bottom w:type="dxa" w:w="60"/>
              <w:right w:type="dxa" w:w="100"/>
            </w:tcMar>
          </w:tcPr>
          <w:p>
            <w:r>
              <w:rPr>
                <w:rFonts w:ascii="Calibri" w:cs="Calibri" w:eastAsia="Calibri" w:hAnsi="Calibri"/>
                <w:b/>
                <w:bCs/>
                <w:color w:val="1A1A1A"/>
                <w:sz w:val="20"/>
                <w:szCs w:val="20"/>
              </w:rPr>
              <w:t xml:space="preserve">Target date</w:t>
            </w:r>
          </w:p>
        </w:tc>
        <w:tc>
          <w:tcPr>
            <w:tcW w:type="dxa" w:w="3120"/>
            <w:shd w:fill="FDF0E6" w:val="clear"/>
            <w:tcMar>
              <w:top w:type="dxa" w:w="60"/>
              <w:left w:type="dxa" w:w="100"/>
              <w:bottom w:type="dxa" w:w="60"/>
              <w:right w:type="dxa" w:w="100"/>
            </w:tcMar>
          </w:tcPr>
          <w:p>
            <w:r>
              <w:rPr>
                <w:rFonts w:ascii="Calibri" w:cs="Calibri" w:eastAsia="Calibri" w:hAnsi="Calibri"/>
                <w:b/>
                <w:bCs/>
                <w:color w:val="1A1A1A"/>
                <w:sz w:val="20"/>
                <w:szCs w:val="20"/>
              </w:rPr>
              <w:t xml:space="preserve">Billing trigger (if milestone-billed)</w:t>
            </w:r>
          </w:p>
        </w:tc>
      </w:tr>
      <w:tr>
        <w:tc>
          <w:tcPr>
            <w:tcW w:type="dxa" w:w="3900"/>
            <w:tcMar>
              <w:top w:type="dxa" w:w="60"/>
              <w:left w:type="dxa" w:w="100"/>
              <w:bottom w:type="dxa" w:w="60"/>
              <w:right w:type="dxa" w:w="100"/>
            </w:tcMar>
          </w:tcPr>
          <w:p>
            <w:r>
              <w:rPr>
                <w:rFonts w:ascii="Calibri" w:cs="Calibri" w:eastAsia="Calibri" w:hAnsi="Calibri"/>
                <w:b w:val="false"/>
                <w:bCs w:val="false"/>
                <w:color w:val="1A1A1A"/>
                <w:sz w:val="20"/>
                <w:szCs w:val="20"/>
              </w:rPr>
              <w:t xml:space="preserve">[Kickoff / access received]</w:t>
            </w:r>
          </w:p>
        </w:tc>
        <w:tc>
          <w:tcPr>
            <w:tcW w:type="dxa" w:w="2340"/>
            <w:tcMar>
              <w:top w:type="dxa" w:w="60"/>
              <w:left w:type="dxa" w:w="100"/>
              <w:bottom w:type="dxa" w:w="60"/>
              <w:right w:type="dxa" w:w="100"/>
            </w:tcMar>
          </w:tcPr>
          <w:p>
            <w:r>
              <w:rPr>
                <w:rFonts w:ascii="Calibri" w:cs="Calibri" w:eastAsia="Calibri" w:hAnsi="Calibri"/>
                <w:b w:val="false"/>
                <w:bCs w:val="false"/>
                <w:color w:val="1A1A1A"/>
                <w:sz w:val="20"/>
                <w:szCs w:val="20"/>
              </w:rPr>
              <w:t xml:space="preserve">[date]</w:t>
            </w:r>
          </w:p>
        </w:tc>
        <w:tc>
          <w:tcPr>
            <w:tcW w:type="dxa" w:w="3120"/>
            <w:tcMar>
              <w:top w:type="dxa" w:w="60"/>
              <w:left w:type="dxa" w:w="100"/>
              <w:bottom w:type="dxa" w:w="60"/>
              <w:right w:type="dxa" w:w="100"/>
            </w:tcMar>
          </w:tcPr>
          <w:p>
            <w:r>
              <w:rPr>
                <w:rFonts w:ascii="Calibri" w:cs="Calibri" w:eastAsia="Calibri" w:hAnsi="Calibri"/>
                <w:b w:val="false"/>
                <w:bCs w:val="false"/>
                <w:color w:val="1A1A1A"/>
                <w:sz w:val="20"/>
                <w:szCs w:val="20"/>
              </w:rPr>
              <w:t xml:space="preserve">[e.g., [__]% of fixed fee]</w:t>
            </w:r>
          </w:p>
        </w:tc>
      </w:tr>
      <w:tr>
        <w:tc>
          <w:tcPr>
            <w:tcW w:type="dxa" w:w="3900"/>
            <w:tcMar>
              <w:top w:type="dxa" w:w="60"/>
              <w:left w:type="dxa" w:w="100"/>
              <w:bottom w:type="dxa" w:w="60"/>
              <w:right w:type="dxa" w:w="100"/>
            </w:tcMar>
          </w:tcPr>
          <w:p>
            <w:r>
              <w:rPr>
                <w:rFonts w:ascii="Calibri" w:cs="Calibri" w:eastAsia="Calibri" w:hAnsi="Calibri"/>
                <w:b w:val="false"/>
                <w:bCs w:val="false"/>
                <w:color w:val="1A1A1A"/>
                <w:sz w:val="20"/>
                <w:szCs w:val="20"/>
              </w:rPr>
              <w:t xml:space="preserve">[Milestone 2]</w:t>
            </w:r>
          </w:p>
        </w:tc>
        <w:tc>
          <w:tcPr>
            <w:tcW w:type="dxa" w:w="2340"/>
            <w:tcMar>
              <w:top w:type="dxa" w:w="60"/>
              <w:left w:type="dxa" w:w="100"/>
              <w:bottom w:type="dxa" w:w="60"/>
              <w:right w:type="dxa" w:w="100"/>
            </w:tcMar>
          </w:tcPr>
          <w:p>
            <w:r>
              <w:rPr>
                <w:rFonts w:ascii="Calibri" w:cs="Calibri" w:eastAsia="Calibri" w:hAnsi="Calibri"/>
                <w:b w:val="false"/>
                <w:bCs w:val="false"/>
                <w:color w:val="1A1A1A"/>
                <w:sz w:val="20"/>
                <w:szCs w:val="20"/>
              </w:rPr>
              <w:t xml:space="preserve">[date]</w:t>
            </w:r>
          </w:p>
        </w:tc>
        <w:tc>
          <w:tcPr>
            <w:tcW w:type="dxa" w:w="3120"/>
            <w:tcMar>
              <w:top w:type="dxa" w:w="60"/>
              <w:left w:type="dxa" w:w="100"/>
              <w:bottom w:type="dxa" w:w="60"/>
              <w:right w:type="dxa" w:w="100"/>
            </w:tcMar>
          </w:tcPr>
          <w:p>
            <w:r>
              <w:rPr>
                <w:rFonts w:ascii="Calibri" w:cs="Calibri" w:eastAsia="Calibri" w:hAnsi="Calibri"/>
                <w:b w:val="false"/>
                <w:bCs w:val="false"/>
                <w:color w:val="1A1A1A"/>
                <w:sz w:val="20"/>
                <w:szCs w:val="20"/>
              </w:rPr>
              <w:t xml:space="preserve">[___]</w:t>
            </w:r>
          </w:p>
        </w:tc>
      </w:tr>
      <w:tr>
        <w:tc>
          <w:tcPr>
            <w:tcW w:type="dxa" w:w="3900"/>
            <w:tcMar>
              <w:top w:type="dxa" w:w="60"/>
              <w:left w:type="dxa" w:w="100"/>
              <w:bottom w:type="dxa" w:w="60"/>
              <w:right w:type="dxa" w:w="100"/>
            </w:tcMar>
          </w:tcPr>
          <w:p>
            <w:r>
              <w:rPr>
                <w:rFonts w:ascii="Calibri" w:cs="Calibri" w:eastAsia="Calibri" w:hAnsi="Calibri"/>
                <w:b w:val="false"/>
                <w:bCs w:val="false"/>
                <w:color w:val="1A1A1A"/>
                <w:sz w:val="20"/>
                <w:szCs w:val="20"/>
              </w:rPr>
              <w:t xml:space="preserve">[Cutover / go-live]</w:t>
            </w:r>
          </w:p>
        </w:tc>
        <w:tc>
          <w:tcPr>
            <w:tcW w:type="dxa" w:w="2340"/>
            <w:tcMar>
              <w:top w:type="dxa" w:w="60"/>
              <w:left w:type="dxa" w:w="100"/>
              <w:bottom w:type="dxa" w:w="60"/>
              <w:right w:type="dxa" w:w="100"/>
            </w:tcMar>
          </w:tcPr>
          <w:p>
            <w:r>
              <w:rPr>
                <w:rFonts w:ascii="Calibri" w:cs="Calibri" w:eastAsia="Calibri" w:hAnsi="Calibri"/>
                <w:b w:val="false"/>
                <w:bCs w:val="false"/>
                <w:color w:val="1A1A1A"/>
                <w:sz w:val="20"/>
                <w:szCs w:val="20"/>
              </w:rPr>
              <w:t xml:space="preserve">[date]</w:t>
            </w:r>
          </w:p>
        </w:tc>
        <w:tc>
          <w:tcPr>
            <w:tcW w:type="dxa" w:w="3120"/>
            <w:tcMar>
              <w:top w:type="dxa" w:w="60"/>
              <w:left w:type="dxa" w:w="100"/>
              <w:bottom w:type="dxa" w:w="60"/>
              <w:right w:type="dxa" w:w="100"/>
            </w:tcMar>
          </w:tcPr>
          <w:p>
            <w:r>
              <w:rPr>
                <w:rFonts w:ascii="Calibri" w:cs="Calibri" w:eastAsia="Calibri" w:hAnsi="Calibri"/>
                <w:b w:val="false"/>
                <w:bCs w:val="false"/>
                <w:color w:val="1A1A1A"/>
                <w:sz w:val="20"/>
                <w:szCs w:val="20"/>
              </w:rPr>
              <w:t xml:space="preserve">[___]</w:t>
            </w:r>
          </w:p>
        </w:tc>
      </w:tr>
      <w:tr>
        <w:tc>
          <w:tcPr>
            <w:tcW w:type="dxa" w:w="3900"/>
            <w:tcMar>
              <w:top w:type="dxa" w:w="60"/>
              <w:left w:type="dxa" w:w="100"/>
              <w:bottom w:type="dxa" w:w="60"/>
              <w:right w:type="dxa" w:w="100"/>
            </w:tcMar>
          </w:tcPr>
          <w:p>
            <w:r>
              <w:rPr>
                <w:rFonts w:ascii="Calibri" w:cs="Calibri" w:eastAsia="Calibri" w:hAnsi="Calibri"/>
                <w:b w:val="false"/>
                <w:bCs w:val="false"/>
                <w:color w:val="1A1A1A"/>
                <w:sz w:val="20"/>
                <w:szCs w:val="20"/>
              </w:rPr>
              <w:t xml:space="preserve">[Acceptance per Section 8]</w:t>
            </w:r>
          </w:p>
        </w:tc>
        <w:tc>
          <w:tcPr>
            <w:tcW w:type="dxa" w:w="2340"/>
            <w:tcMar>
              <w:top w:type="dxa" w:w="60"/>
              <w:left w:type="dxa" w:w="100"/>
              <w:bottom w:type="dxa" w:w="60"/>
              <w:right w:type="dxa" w:w="100"/>
            </w:tcMar>
          </w:tcPr>
          <w:p>
            <w:r>
              <w:rPr>
                <w:rFonts w:ascii="Calibri" w:cs="Calibri" w:eastAsia="Calibri" w:hAnsi="Calibri"/>
                <w:b w:val="false"/>
                <w:bCs w:val="false"/>
                <w:color w:val="1A1A1A"/>
                <w:sz w:val="20"/>
                <w:szCs w:val="20"/>
              </w:rPr>
              <w:t xml:space="preserve">[date]</w:t>
            </w:r>
          </w:p>
        </w:tc>
        <w:tc>
          <w:tcPr>
            <w:tcW w:type="dxa" w:w="3120"/>
            <w:tcMar>
              <w:top w:type="dxa" w:w="60"/>
              <w:left w:type="dxa" w:w="100"/>
              <w:bottom w:type="dxa" w:w="60"/>
              <w:right w:type="dxa" w:w="100"/>
            </w:tcMar>
          </w:tcPr>
          <w:p>
            <w:r>
              <w:rPr>
                <w:rFonts w:ascii="Calibri" w:cs="Calibri" w:eastAsia="Calibri" w:hAnsi="Calibri"/>
                <w:b w:val="false"/>
                <w:bCs w:val="false"/>
                <w:color w:val="1A1A1A"/>
                <w:sz w:val="20"/>
                <w:szCs w:val="20"/>
              </w:rPr>
              <w:t xml:space="preserve">[Balance]</w:t>
            </w:r>
          </w:p>
        </w:tc>
      </w:tr>
    </w:tbl>
    <w:p>
      <w:pPr>
        <w:spacing w:after="120"/>
      </w:pPr>
      <w:r>
        <w:rPr>
          <w:rFonts w:ascii="Calibri" w:cs="Calibri" w:eastAsia="Calibri" w:hAnsi="Calibri"/>
          <w:color w:val="1A1A1A"/>
          <w:sz w:val="21"/>
          <w:szCs w:val="21"/>
        </w:rPr>
        <w:t xml:space="preserve"/>
      </w:r>
    </w:p>
    <w:p>
      <w:pPr>
        <w:spacing w:after="120"/>
      </w:pPr>
      <w:r>
        <w:rPr>
          <w:rFonts w:ascii="Calibri" w:cs="Calibri" w:eastAsia="Calibri" w:hAnsi="Calibri"/>
          <w:color w:val="1A1A1A"/>
          <w:sz w:val="21"/>
          <w:szCs w:val="21"/>
        </w:rPr>
        <w:t xml:space="preserve">Target dates assume Client meets the dependencies in Section 7 on time. Delays in those dependencies move the timeline day for day and may require rescheduling around Provider's other commitments.</w:t>
      </w:r>
    </w:p>
    <w:p>
      <w:pPr>
        <w:pStyle w:val="Heading1"/>
        <w:spacing w:after="120" w:before="280"/>
      </w:pPr>
      <w:r>
        <w:rPr>
          <w:rFonts w:ascii="Calibri" w:cs="Calibri" w:eastAsia="Calibri" w:hAnsi="Calibri"/>
          <w:b/>
          <w:bCs/>
          <w:color w:val="E57D31"/>
          <w:sz w:val="26"/>
          <w:szCs w:val="26"/>
        </w:rPr>
        <w:t xml:space="preserve">7. Client Dependencies</w:t>
      </w:r>
    </w:p>
    <w:p>
      <w:pPr>
        <w:spacing w:after="120"/>
      </w:pPr>
      <w:r>
        <w:rPr>
          <w:rFonts w:ascii="Calibri" w:cs="Calibri" w:eastAsia="Calibri" w:hAnsi="Calibri"/>
          <w:color w:val="1A1A1A"/>
          <w:sz w:val="21"/>
          <w:szCs w:val="21"/>
        </w:rPr>
        <w:t xml:space="preserve">Client will provide the following, by the dates shown, at no cost to Provider:</w:t>
      </w:r>
    </w:p>
    <w:p>
      <w:pPr>
        <w:pStyle w:val="ListParagraph"/>
        <w:numPr>
          <w:ilvl w:val="0"/>
          <w:numId w:val="2"/>
        </w:numPr>
        <w:spacing w:after="80"/>
      </w:pPr>
      <w:r>
        <w:rPr>
          <w:rFonts w:ascii="Calibri" w:cs="Calibri" w:eastAsia="Calibri" w:hAnsi="Calibri"/>
          <w:color w:val="1A1A1A"/>
          <w:sz w:val="21"/>
          <w:szCs w:val="21"/>
        </w:rPr>
        <w:t xml:space="preserve">[Access: e.g., administrator credentials for [system] by [date]; access to the server room on [date]]</w:t>
      </w:r>
    </w:p>
    <w:p>
      <w:pPr>
        <w:pStyle w:val="ListParagraph"/>
        <w:numPr>
          <w:ilvl w:val="0"/>
          <w:numId w:val="2"/>
        </w:numPr>
        <w:spacing w:after="80"/>
      </w:pPr>
      <w:r>
        <w:rPr>
          <w:rFonts w:ascii="Calibri" w:cs="Calibri" w:eastAsia="Calibri" w:hAnsi="Calibri"/>
          <w:color w:val="1A1A1A"/>
          <w:sz w:val="21"/>
          <w:szCs w:val="21"/>
        </w:rPr>
        <w:t xml:space="preserve">[People: a decision-maker reachable within [1] business day for approvals during the project]</w:t>
      </w:r>
    </w:p>
    <w:p>
      <w:pPr>
        <w:pStyle w:val="ListParagraph"/>
        <w:numPr>
          <w:ilvl w:val="0"/>
          <w:numId w:val="2"/>
        </w:numPr>
        <w:spacing w:after="80"/>
      </w:pPr>
      <w:r>
        <w:rPr>
          <w:rFonts w:ascii="Calibri" w:cs="Calibri" w:eastAsia="Calibri" w:hAnsi="Calibri"/>
          <w:color w:val="1A1A1A"/>
          <w:sz w:val="21"/>
          <w:szCs w:val="21"/>
        </w:rPr>
        <w:t xml:space="preserve">[Information: e.g., the user list and mailbox list by [date]]</w:t>
      </w:r>
    </w:p>
    <w:p>
      <w:pPr>
        <w:pStyle w:val="ListParagraph"/>
        <w:numPr>
          <w:ilvl w:val="0"/>
          <w:numId w:val="2"/>
        </w:numPr>
        <w:spacing w:after="80"/>
      </w:pPr>
      <w:r>
        <w:rPr>
          <w:rFonts w:ascii="Calibri" w:cs="Calibri" w:eastAsia="Calibri" w:hAnsi="Calibri"/>
          <w:color w:val="1A1A1A"/>
          <w:sz w:val="21"/>
          <w:szCs w:val="21"/>
        </w:rPr>
        <w:t xml:space="preserve">[Third parties: e.g., authorization for Provider to work with Client's current IT provider, ISP, or software vendor]</w:t>
      </w:r>
    </w:p>
    <w:p>
      <w:pPr>
        <w:pStyle w:val="Heading1"/>
        <w:spacing w:after="120" w:before="280"/>
      </w:pPr>
      <w:r>
        <w:rPr>
          <w:rFonts w:ascii="Calibri" w:cs="Calibri" w:eastAsia="Calibri" w:hAnsi="Calibri"/>
          <w:b/>
          <w:bCs/>
          <w:color w:val="E57D31"/>
          <w:sz w:val="26"/>
          <w:szCs w:val="26"/>
        </w:rPr>
        <w:t xml:space="preserve">8. Acceptance Criteria</w:t>
      </w:r>
    </w:p>
    <w:p>
      <w:pPr>
        <w:spacing w:after="120"/>
      </w:pPr>
      <w:r>
        <w:rPr>
          <w:rFonts w:ascii="Calibri" w:cs="Calibri" w:eastAsia="Calibri" w:hAnsi="Calibri"/>
          <w:color w:val="1A1A1A"/>
          <w:sz w:val="21"/>
          <w:szCs w:val="21"/>
        </w:rPr>
        <w:t xml:space="preserve">The project is complete when the following criteria are met: [objective, testable criteria, e.g., all migrated mailboxes send and receive; shared files open from each workstation; the old server is powered down; handoff documentation delivered].</w:t>
      </w:r>
    </w:p>
    <w:p>
      <w:pPr>
        <w:spacing w:after="120"/>
      </w:pPr>
      <w:r>
        <w:rPr>
          <w:rFonts w:ascii="Calibri" w:cs="Calibri" w:eastAsia="Calibri" w:hAnsi="Calibri"/>
          <w:color w:val="1A1A1A"/>
          <w:sz w:val="21"/>
          <w:szCs w:val="21"/>
        </w:rPr>
        <w:t xml:space="preserve">Provider will give written notice when the criteria are met. Client will accept, or give specific written reasons for rejection, within [5] business days of that notice; if Client does not respond within that period, or puts the deliverables into productive use, the work is accepted. Minor punch-list items that do not prevent normal use do not delay acceptance; Provider will resolve them promptly after acceptance.</w:t>
      </w:r>
    </w:p>
    <w:p>
      <w:pPr>
        <w:pStyle w:val="Heading1"/>
        <w:spacing w:after="120" w:before="280"/>
      </w:pPr>
      <w:r>
        <w:rPr>
          <w:rFonts w:ascii="Calibri" w:cs="Calibri" w:eastAsia="Calibri" w:hAnsi="Calibri"/>
          <w:b/>
          <w:bCs/>
          <w:color w:val="E57D31"/>
          <w:sz w:val="26"/>
          <w:szCs w:val="26"/>
        </w:rPr>
        <w:t xml:space="preserve">9. Change Control</w:t>
      </w:r>
    </w:p>
    <w:p>
      <w:pPr>
        <w:spacing w:after="120"/>
      </w:pPr>
      <w:r>
        <w:rPr>
          <w:rFonts w:ascii="Calibri" w:cs="Calibri" w:eastAsia="Calibri" w:hAnsi="Calibri"/>
          <w:color w:val="1A1A1A"/>
          <w:sz w:val="21"/>
          <w:szCs w:val="21"/>
        </w:rPr>
        <w:t xml:space="preserve">Requests outside this SOW's scope, assumptions in Section 4 that prove wrong, and additions discovered mid-project are handled only by a written Change Order signed by both parties, stating the change, the price impact, and the timeline impact. Work on a change does not begin until the Change Order is signed. Email threads and verbal agreements are not change orders.</w:t>
      </w:r>
    </w:p>
    <w:p>
      <w:pPr>
        <w:pStyle w:val="Heading1"/>
        <w:spacing w:after="120" w:before="280"/>
      </w:pPr>
      <w:r>
        <w:rPr>
          <w:rFonts w:ascii="Calibri" w:cs="Calibri" w:eastAsia="Calibri" w:hAnsi="Calibri"/>
          <w:b/>
          <w:bCs/>
          <w:color w:val="E57D31"/>
          <w:sz w:val="26"/>
          <w:szCs w:val="26"/>
        </w:rPr>
        <w:t xml:space="preserve">10. Website Projects: Ownership Rider</w:t>
      </w:r>
    </w:p>
    <w:p>
      <w:pPr>
        <w:spacing w:after="120"/>
      </w:pPr>
      <w:r>
        <w:rPr>
          <w:rFonts w:ascii="Calibri" w:cs="Calibri" w:eastAsia="Calibri" w:hAnsi="Calibri"/>
          <w:color w:val="1A1A1A"/>
          <w:sz w:val="21"/>
          <w:szCs w:val="21"/>
        </w:rPr>
        <w:t xml:space="preserve">[Delete this section if this SOW is not a website project.]</w:t>
      </w:r>
    </w:p>
    <w:p>
      <w:pPr>
        <w:spacing w:after="120"/>
      </w:pPr>
      <w:r>
        <w:rPr>
          <w:rFonts w:ascii="Calibri" w:cs="Calibri" w:eastAsia="Calibri" w:hAnsi="Calibri"/>
          <w:color w:val="1A1A1A"/>
          <w:sz w:val="21"/>
          <w:szCs w:val="21"/>
        </w:rPr>
        <w:t xml:space="preserve">For website projects: on full payment of all amounts due under this SOW, Client owns the domain name, the site content, and the site code delivered under this SOW. The domain registrar account and the hosting account are established in Client's name, with Provider holding administrative access for as long as Provider manages the site. Provider's preexisting tools, templates, and processes remain Provider's, per the MSA. [Attach rider with registrar, hosting, and repository details.]</w:t>
      </w:r>
    </w:p>
    <w:p>
      <w:pPr>
        <w:pStyle w:val="Heading1"/>
        <w:spacing w:after="120" w:before="280"/>
      </w:pPr>
      <w:r>
        <w:rPr>
          <w:rFonts w:ascii="Calibri" w:cs="Calibri" w:eastAsia="Calibri" w:hAnsi="Calibri"/>
          <w:b/>
          <w:bCs/>
          <w:color w:val="E57D31"/>
          <w:sz w:val="26"/>
          <w:szCs w:val="26"/>
        </w:rPr>
        <w:t xml:space="preserve">11. Entire SOW</w:t>
      </w:r>
    </w:p>
    <w:p>
      <w:pPr>
        <w:spacing w:after="120"/>
      </w:pPr>
      <w:r>
        <w:rPr>
          <w:rFonts w:ascii="Calibri" w:cs="Calibri" w:eastAsia="Calibri" w:hAnsi="Calibri"/>
          <w:color w:val="1A1A1A"/>
          <w:sz w:val="21"/>
          <w:szCs w:val="21"/>
        </w:rPr>
        <w:t xml:space="preserve">This SOW and the MSA are the entire agreement for this project. This SOW is governed by {{STATE}} law, as the MSA provides. Signatures below may be electronic.</w:t>
      </w:r>
    </w:p>
    <w:p>
      <w:pPr>
        <w:spacing w:after="120"/>
      </w:pPr>
      <w:r>
        <w:rPr>
          <w:rFonts w:ascii="Calibri" w:cs="Calibri" w:eastAsia="Calibri" w:hAnsi="Calibri"/>
          <w:color w:val="1A1A1A"/>
          <w:sz w:val="21"/>
          <w:szCs w:val="21"/>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shd w:fill="FDF0E6" w:val="clear"/>
            <w:tcMar>
              <w:top w:type="dxa" w:w="60"/>
              <w:left w:type="dxa" w:w="100"/>
              <w:bottom w:type="dxa" w:w="60"/>
              <w:right w:type="dxa" w:w="100"/>
            </w:tcMar>
          </w:tcPr>
          <w:p>
            <w:r>
              <w:rPr>
                <w:rFonts w:ascii="Calibri" w:cs="Calibri" w:eastAsia="Calibri" w:hAnsi="Calibri"/>
                <w:b/>
                <w:bCs/>
                <w:color w:val="1A1A1A"/>
                <w:sz w:val="20"/>
                <w:szCs w:val="20"/>
              </w:rPr>
              <w:t xml:space="preserve">{{COMPANY_LEGAL_NAME}} (Provider)</w:t>
            </w:r>
          </w:p>
        </w:tc>
        <w:tc>
          <w:tcPr>
            <w:tcW w:type="dxa" w:w="4680"/>
            <w:shd w:fill="FDF0E6" w:val="clear"/>
            <w:tcMar>
              <w:top w:type="dxa" w:w="60"/>
              <w:left w:type="dxa" w:w="100"/>
              <w:bottom w:type="dxa" w:w="60"/>
              <w:right w:type="dxa" w:w="100"/>
            </w:tcMar>
          </w:tcPr>
          <w:p>
            <w:r>
              <w:rPr>
                <w:rFonts w:ascii="Calibri" w:cs="Calibri" w:eastAsia="Calibri" w:hAnsi="Calibri"/>
                <w:b/>
                <w:bCs/>
                <w:color w:val="1A1A1A"/>
                <w:sz w:val="20"/>
                <w:szCs w:val="20"/>
              </w:rPr>
              <w:t xml:space="preserve">[Client legal name] (Client)</w:t>
            </w:r>
          </w:p>
        </w:tc>
      </w:tr>
      <w:tr>
        <w:tc>
          <w:tcPr>
            <w:tcW w:type="dxa" w:w="4680"/>
            <w:tcMar>
              <w:top w:type="dxa" w:w="60"/>
              <w:left w:type="dxa" w:w="100"/>
              <w:bottom w:type="dxa" w:w="60"/>
              <w:right w:type="dxa" w:w="100"/>
            </w:tcMar>
          </w:tcPr>
          <w:p>
            <w:r>
              <w:rPr>
                <w:rFonts w:ascii="Calibri" w:cs="Calibri" w:eastAsia="Calibri" w:hAnsi="Calibri"/>
                <w:b w:val="false"/>
                <w:bCs w:val="false"/>
                <w:color w:val="1A1A1A"/>
                <w:sz w:val="20"/>
                <w:szCs w:val="20"/>
              </w:rPr>
              <w:t xml:space="preserve">Signature: _______________________</w:t>
            </w:r>
          </w:p>
        </w:tc>
        <w:tc>
          <w:tcPr>
            <w:tcW w:type="dxa" w:w="4680"/>
            <w:tcMar>
              <w:top w:type="dxa" w:w="60"/>
              <w:left w:type="dxa" w:w="100"/>
              <w:bottom w:type="dxa" w:w="60"/>
              <w:right w:type="dxa" w:w="100"/>
            </w:tcMar>
          </w:tcPr>
          <w:p>
            <w:r>
              <w:rPr>
                <w:rFonts w:ascii="Calibri" w:cs="Calibri" w:eastAsia="Calibri" w:hAnsi="Calibri"/>
                <w:b w:val="false"/>
                <w:bCs w:val="false"/>
                <w:color w:val="1A1A1A"/>
                <w:sz w:val="20"/>
                <w:szCs w:val="20"/>
              </w:rPr>
              <w:t xml:space="preserve">Signature: _______________________</w:t>
            </w:r>
          </w:p>
        </w:tc>
      </w:tr>
      <w:tr>
        <w:tc>
          <w:tcPr>
            <w:tcW w:type="dxa" w:w="4680"/>
            <w:tcMar>
              <w:top w:type="dxa" w:w="60"/>
              <w:left w:type="dxa" w:w="100"/>
              <w:bottom w:type="dxa" w:w="60"/>
              <w:right w:type="dxa" w:w="100"/>
            </w:tcMar>
          </w:tcPr>
          <w:p>
            <w:r>
              <w:rPr>
                <w:rFonts w:ascii="Calibri" w:cs="Calibri" w:eastAsia="Calibri" w:hAnsi="Calibri"/>
                <w:b w:val="false"/>
                <w:bCs w:val="false"/>
                <w:color w:val="1A1A1A"/>
                <w:sz w:val="20"/>
                <w:szCs w:val="20"/>
              </w:rPr>
              <w:t xml:space="preserve">Name: [___]</w:t>
            </w:r>
          </w:p>
        </w:tc>
        <w:tc>
          <w:tcPr>
            <w:tcW w:type="dxa" w:w="4680"/>
            <w:tcMar>
              <w:top w:type="dxa" w:w="60"/>
              <w:left w:type="dxa" w:w="100"/>
              <w:bottom w:type="dxa" w:w="60"/>
              <w:right w:type="dxa" w:w="100"/>
            </w:tcMar>
          </w:tcPr>
          <w:p>
            <w:r>
              <w:rPr>
                <w:rFonts w:ascii="Calibri" w:cs="Calibri" w:eastAsia="Calibri" w:hAnsi="Calibri"/>
                <w:b w:val="false"/>
                <w:bCs w:val="false"/>
                <w:color w:val="1A1A1A"/>
                <w:sz w:val="20"/>
                <w:szCs w:val="20"/>
              </w:rPr>
              <w:t xml:space="preserve">Name: [___]</w:t>
            </w:r>
          </w:p>
        </w:tc>
      </w:tr>
      <w:tr>
        <w:tc>
          <w:tcPr>
            <w:tcW w:type="dxa" w:w="4680"/>
            <w:tcMar>
              <w:top w:type="dxa" w:w="60"/>
              <w:left w:type="dxa" w:w="100"/>
              <w:bottom w:type="dxa" w:w="60"/>
              <w:right w:type="dxa" w:w="100"/>
            </w:tcMar>
          </w:tcPr>
          <w:p>
            <w:r>
              <w:rPr>
                <w:rFonts w:ascii="Calibri" w:cs="Calibri" w:eastAsia="Calibri" w:hAnsi="Calibri"/>
                <w:b w:val="false"/>
                <w:bCs w:val="false"/>
                <w:color w:val="1A1A1A"/>
                <w:sz w:val="20"/>
                <w:szCs w:val="20"/>
              </w:rPr>
              <w:t xml:space="preserve">Title: [___]</w:t>
            </w:r>
          </w:p>
        </w:tc>
        <w:tc>
          <w:tcPr>
            <w:tcW w:type="dxa" w:w="4680"/>
            <w:tcMar>
              <w:top w:type="dxa" w:w="60"/>
              <w:left w:type="dxa" w:w="100"/>
              <w:bottom w:type="dxa" w:w="60"/>
              <w:right w:type="dxa" w:w="100"/>
            </w:tcMar>
          </w:tcPr>
          <w:p>
            <w:r>
              <w:rPr>
                <w:rFonts w:ascii="Calibri" w:cs="Calibri" w:eastAsia="Calibri" w:hAnsi="Calibri"/>
                <w:b w:val="false"/>
                <w:bCs w:val="false"/>
                <w:color w:val="1A1A1A"/>
                <w:sz w:val="20"/>
                <w:szCs w:val="20"/>
              </w:rPr>
              <w:t xml:space="preserve">Title: [___]</w:t>
            </w:r>
          </w:p>
        </w:tc>
      </w:tr>
      <w:tr>
        <w:tc>
          <w:tcPr>
            <w:tcW w:type="dxa" w:w="4680"/>
            <w:tcMar>
              <w:top w:type="dxa" w:w="60"/>
              <w:left w:type="dxa" w:w="100"/>
              <w:bottom w:type="dxa" w:w="60"/>
              <w:right w:type="dxa" w:w="100"/>
            </w:tcMar>
          </w:tcPr>
          <w:p>
            <w:r>
              <w:rPr>
                <w:rFonts w:ascii="Calibri" w:cs="Calibri" w:eastAsia="Calibri" w:hAnsi="Calibri"/>
                <w:b w:val="false"/>
                <w:bCs w:val="false"/>
                <w:color w:val="1A1A1A"/>
                <w:sz w:val="20"/>
                <w:szCs w:val="20"/>
              </w:rPr>
              <w:t xml:space="preserve">Date: [___]</w:t>
            </w:r>
          </w:p>
        </w:tc>
        <w:tc>
          <w:tcPr>
            <w:tcW w:type="dxa" w:w="4680"/>
            <w:tcMar>
              <w:top w:type="dxa" w:w="60"/>
              <w:left w:type="dxa" w:w="100"/>
              <w:bottom w:type="dxa" w:w="60"/>
              <w:right w:type="dxa" w:w="100"/>
            </w:tcMar>
          </w:tcPr>
          <w:p>
            <w:r>
              <w:rPr>
                <w:rFonts w:ascii="Calibri" w:cs="Calibri" w:eastAsia="Calibri" w:hAnsi="Calibri"/>
                <w:b w:val="false"/>
                <w:bCs w:val="false"/>
                <w:color w:val="1A1A1A"/>
                <w:sz w:val="20"/>
                <w:szCs w:val="20"/>
              </w:rPr>
              <w:t xml:space="preserve">Date: [___]</w:t>
            </w:r>
          </w:p>
        </w:tc>
      </w:tr>
    </w:tbl>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start"/>
      <w:pPr>
        <w:ind w:left="36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2026-07-18T01:18:52.792Z</dcterms:created>
  <dcterms:modified xsi:type="dcterms:W3CDTF">2026-07-18T01:18:52.793Z</dcterms:modified>
</cp:coreProperties>
</file>

<file path=docProps/custom.xml><?xml version="1.0" encoding="utf-8"?>
<Properties xmlns="http://schemas.openxmlformats.org/officeDocument/2006/custom-properties" xmlns:vt="http://schemas.openxmlformats.org/officeDocument/2006/docPropsVTypes"/>
</file>