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DF0E6" w:val="clear"/>
        <w:spacing w:after="160"/>
      </w:pPr>
      <w:r>
        <w:rPr>
          <w:rFonts w:ascii="Calibri" w:cs="Calibri" w:eastAsia="Calibri" w:hAnsi="Calibri"/>
          <w:i/>
          <w:iCs/>
          <w:color w:val="666666"/>
          <w:sz w:val="18"/>
          <w:szCs w:val="18"/>
        </w:rPr>
        <w:t xml:space="preserve">EXAMPLE TEMPLATE. DRAFT ONLY. This document is a starting point from another MSP's practice, not legal advice. Have an attorney licensed in {{STATE}} review and adapt it before any use. Bracketed fields are per-client entries.</w:t>
      </w:r>
    </w:p>
    <w:p>
      <w:pPr>
        <w:spacing w:after="60"/>
      </w:pPr>
      <w:r>
        <w:rPr>
          <w:rFonts w:ascii="Calibri" w:cs="Calibri" w:eastAsia="Calibri" w:hAnsi="Calibri"/>
          <w:b/>
          <w:bCs/>
          <w:color w:val="1A1A1A"/>
          <w:sz w:val="28"/>
          <w:szCs w:val="28"/>
        </w:rPr>
        <w:t xml:space="preserve">{{COMPANY_LEGAL_NAME}}</w:t>
      </w:r>
    </w:p>
    <w:p>
      <w:pPr>
        <w:spacing w:after="40"/>
      </w:pPr>
      <w:r>
        <w:rPr>
          <w:rFonts w:ascii="Calibri" w:cs="Calibri" w:eastAsia="Calibri" w:hAnsi="Calibri"/>
          <w:b/>
          <w:bCs/>
          <w:color w:val="1A1A1A"/>
          <w:sz w:val="40"/>
          <w:szCs w:val="40"/>
        </w:rPr>
        <w:t xml:space="preserve">SERVICE ORDER</w:t>
      </w:r>
    </w:p>
    <w:p>
      <w:pPr>
        <w:pBdr>
          <w:bottom w:val="single" w:color="E57D31" w:sz="12"/>
        </w:pBdr>
        <w:spacing w:after="240"/>
      </w:pPr>
      <w:r>
        <w:rPr>
          <w:rFonts w:ascii="Calibri" w:cs="Calibri" w:eastAsia="Calibri" w:hAnsi="Calibri"/>
          <w:color w:val="666666"/>
          <w:sz w:val="22"/>
          <w:szCs w:val="22"/>
        </w:rPr>
        <w:t xml:space="preserve">Service Order No. [___] under the Master Services Agreement</w:t>
      </w:r>
    </w:p>
    <w:p>
      <w:pPr>
        <w:spacing w:after="120"/>
      </w:pPr>
      <w:r>
        <w:rPr>
          <w:rFonts w:ascii="Calibri" w:cs="Calibri" w:eastAsia="Calibri" w:hAnsi="Calibri"/>
          <w:color w:val="1A1A1A"/>
          <w:sz w:val="21"/>
          <w:szCs w:val="21"/>
        </w:rPr>
        <w:t xml:space="preserve">This Service Order (the "Order") is entered into as of [Effective Date] (the "Effective Date") by {{COMPANY_LEGAL_NAME}} ("Provider") and [Client legal name] ("Client"), and is governed by the Master Services Agreement between the parties dated [MSA date] (the "MSA"). Capitalized terms used but not defined in this Order have the meanings given in the MSA. If this Order conflicts with the MSA, the MSA governs, except that the commercial terms stated in this Order (scope, counts, pricing, term, and Schedule A) govern this engagement.</w:t>
      </w:r>
    </w:p>
    <w:p>
      <w:pPr>
        <w:pStyle w:val="Heading1"/>
        <w:spacing w:after="120" w:before="280"/>
      </w:pPr>
      <w:r>
        <w:rPr>
          <w:rFonts w:ascii="Calibri" w:cs="Calibri" w:eastAsia="Calibri" w:hAnsi="Calibri"/>
          <w:b/>
          <w:bCs/>
          <w:color w:val="E57D31"/>
          <w:sz w:val="26"/>
          <w:szCs w:val="26"/>
        </w:rPr>
        <w:t xml:space="preserve">1. Term and Renewal</w:t>
      </w:r>
    </w:p>
    <w:p>
      <w:pPr>
        <w:spacing w:after="120"/>
      </w:pPr>
      <w:r>
        <w:rPr>
          <w:rFonts w:ascii="Calibri" w:cs="Calibri" w:eastAsia="Calibri" w:hAnsi="Calibri"/>
          <w:color w:val="1A1A1A"/>
          <w:sz w:val="21"/>
          <w:szCs w:val="21"/>
        </w:rPr>
        <w:t xml:space="preserve">The initial term of this Order is [1 / 2 / 3 / 5] year(s) from the Effective Date (the "Initial Term"). The monthly fee in Section 3 reflects the Initial Term length selected. One year is the minimum term.</w:t>
      </w:r>
    </w:p>
    <w:p>
      <w:pPr>
        <w:spacing w:after="120"/>
      </w:pPr>
      <w:r>
        <w:rPr>
          <w:rFonts w:ascii="Calibri" w:cs="Calibri" w:eastAsia="Calibri" w:hAnsi="Calibri"/>
          <w:color w:val="1A1A1A"/>
          <w:sz w:val="21"/>
          <w:szCs w:val="21"/>
        </w:rPr>
        <w:t xml:space="preserve">At the end of the Initial Term, this Order renews automatically for successive one-year terms at Provider's then-current one-year rate for the services and counts then in effect, unless either party gives written notice of non-renewal at least 60 days before the end of the then-current term.</w:t>
      </w:r>
    </w:p>
    <w:p>
      <w:pPr>
        <w:spacing w:after="120"/>
      </w:pPr>
      <w:r>
        <w:rPr>
          <w:rFonts w:ascii="Calibri" w:cs="Calibri" w:eastAsia="Calibri" w:hAnsi="Calibri"/>
          <w:color w:val="1A1A1A"/>
          <w:sz w:val="21"/>
          <w:szCs w:val="21"/>
        </w:rPr>
        <w:t xml:space="preserve">For a multi-year Initial Term, the monthly fee increases by 3% on each anniversary of the Effective Date after the first year. The fees shown in Section 3 are first-year amounts.</w:t>
      </w:r>
    </w:p>
    <w:p>
      <w:pPr>
        <w:pStyle w:val="Heading1"/>
        <w:spacing w:after="120" w:before="280"/>
      </w:pPr>
      <w:r>
        <w:rPr>
          <w:rFonts w:ascii="Calibri" w:cs="Calibri" w:eastAsia="Calibri" w:hAnsi="Calibri"/>
          <w:b/>
          <w:bCs/>
          <w:color w:val="E57D31"/>
          <w:sz w:val="26"/>
          <w:szCs w:val="26"/>
        </w:rPr>
        <w:t xml:space="preserve">2. Services and Scope</w:t>
      </w:r>
    </w:p>
    <w:p>
      <w:pPr>
        <w:spacing w:after="120"/>
      </w:pPr>
      <w:r>
        <w:rPr>
          <w:rFonts w:ascii="Calibri" w:cs="Calibri" w:eastAsia="Calibri" w:hAnsi="Calibri"/>
          <w:color w:val="1A1A1A"/>
          <w:sz w:val="21"/>
          <w:szCs w:val="21"/>
        </w:rPr>
        <w:t xml:space="preserve">Provider will deliver the managed services selected below for the covered users, devices, and sites listed in Section 3. Service descriptions are as stated in this Order and its schedules.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Included service</w:t>
            </w:r>
          </w:p>
        </w:tc>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Included? / Notes</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Managed user support (help desk, remote support)</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count]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Workstation management (patching, endpoint protection, monitoring)</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count]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Server management and backup verification</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No / count]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Network management (firewall, switches, access points)</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No / inventory]</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Mobile device management</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No / count]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Email and productivity suite administration</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 / platform]</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Security stack (per Provider's standard tools)</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On-site allowance</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 hour(s) per month, per Section 4</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Vendor liaison, domains, and DNS</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[Yes]</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Special software support</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[Application(s) or None]</w:t>
            </w:r>
          </w:p>
        </w:tc>
      </w:tr>
    </w:tbl>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color w:val="1A1A1A"/>
          <w:sz w:val="21"/>
          <w:szCs w:val="21"/>
        </w:rPr>
        <w:t xml:space="preserve">Changes to scope, counts, or fees during a term are made only by a written Change Order signed by both parties, or as provided in Section 3(c).</w:t>
      </w:r>
    </w:p>
    <w:p>
      <w:pPr>
        <w:pStyle w:val="Heading1"/>
        <w:spacing w:after="120" w:before="280"/>
      </w:pPr>
      <w:r>
        <w:rPr>
          <w:rFonts w:ascii="Calibri" w:cs="Calibri" w:eastAsia="Calibri" w:hAnsi="Calibri"/>
          <w:b/>
          <w:bCs/>
          <w:color w:val="E57D31"/>
          <w:sz w:val="26"/>
          <w:szCs w:val="26"/>
        </w:rPr>
        <w:t xml:space="preserve">3. Counts, Fees, and Payment</w:t>
      </w:r>
    </w:p>
    <w:p>
      <w:pPr>
        <w:spacing w:after="120"/>
      </w:pPr>
      <w:r>
        <w:rPr>
          <w:rFonts w:ascii="Calibri" w:cs="Calibri" w:eastAsia="Calibri" w:hAnsi="Calibri"/>
          <w:b/>
          <w:bCs/>
          <w:color w:val="1A1A1A"/>
          <w:sz w:val="21"/>
          <w:szCs w:val="21"/>
        </w:rPr>
        <w:t xml:space="preserve">(a) Covered counts and monthly fee.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100"/>
        <w:gridCol w:w="2100"/>
        <w:gridCol w:w="2040"/>
      </w:tblGrid>
      <w:tr>
        <w:tc>
          <w:tcPr>
            <w:tcW w:type="dxa" w:w="312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Unit</w:t>
            </w:r>
          </w:p>
        </w:tc>
        <w:tc>
          <w:tcPr>
            <w:tcW w:type="dxa" w:w="21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Count</w:t>
            </w:r>
          </w:p>
        </w:tc>
        <w:tc>
          <w:tcPr>
            <w:tcW w:type="dxa" w:w="21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Unit rate</w:t>
            </w:r>
          </w:p>
        </w:tc>
        <w:tc>
          <w:tcPr>
            <w:tcW w:type="dxa" w:w="204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Monthly subtotal</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Users (full)</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[n]</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Users (account only)</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[n]</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Workstations</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[n]</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Servers</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[n]</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Mobile devices</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[n]</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Network (base plus devices)</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[inventory]</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Special software</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[app]</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Monthly fee (Initial Term rate)</w:t>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
            </w:r>
          </w:p>
        </w:tc>
        <w:tc>
          <w:tcPr>
            <w:tcW w:type="dxa" w:w="2100"/>
            <w:tcMar>
              <w:top w:type="dxa" w:w="60"/>
              <w:left w:type="dxa" w:w="100"/>
              <w:bottom w:type="dxa" w:w="60"/>
              <w:right w:type="dxa" w:w="100"/>
            </w:tcMar>
          </w:tcPr>
          <w:p>
            <w:r>
              <w:rPr>
                <w:rFonts w:ascii="Calibri" w:cs="Calibri" w:eastAsia="Calibri" w:hAnsi="Calibri"/>
                <w:b w:val="false"/>
                <w:bCs w:val="false"/>
                <w:color w:val="1A1A1A"/>
                <w:sz w:val="20"/>
                <w:szCs w:val="20"/>
              </w:rPr>
              <w:t xml:space="preserve"/>
            </w:r>
          </w:p>
        </w:tc>
        <w:tc>
          <w:tcPr>
            <w:tcW w:type="dxa" w:w="204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bl>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color w:val="1A1A1A"/>
          <w:sz w:val="21"/>
          <w:szCs w:val="21"/>
        </w:rPr>
        <w:t xml:space="preserve">The monthly fee above reflects the term selected in Section 1. For reference, the term ladder quoted for this engagement was: 1 year $[___], 2 years $[___], 3 years $[___], 5 years $[___] per month.</w:t>
      </w:r>
    </w:p>
    <w:p>
      <w:pPr>
        <w:spacing w:after="120"/>
      </w:pPr>
      <w:r>
        <w:rPr>
          <w:rFonts w:ascii="Calibri" w:cs="Calibri" w:eastAsia="Calibri" w:hAnsi="Calibri"/>
          <w:b/>
          <w:bCs/>
          <w:color w:val="1A1A1A"/>
          <w:sz w:val="21"/>
          <w:szCs w:val="21"/>
        </w:rPr>
        <w:t xml:space="preserve">(b) Invoicing.</w:t>
      </w:r>
    </w:p>
    <w:p>
      <w:pPr>
        <w:spacing w:after="120"/>
      </w:pPr>
      <w:r>
        <w:rPr>
          <w:rFonts w:ascii="Calibri" w:cs="Calibri" w:eastAsia="Calibri" w:hAnsi="Calibri"/>
          <w:color w:val="1A1A1A"/>
          <w:sz w:val="21"/>
          <w:szCs w:val="21"/>
        </w:rPr>
        <w:t xml:space="preserve">The monthly fee is invoiced and payable as provided in the MSA. Third-party licenses procured by Provider for Client bill monthly as a single line item as stated in the quote, which covers the licenses plus Provider's procurement, license management, and vendor liaison.</w:t>
      </w:r>
    </w:p>
    <w:p>
      <w:pPr>
        <w:spacing w:after="120"/>
      </w:pPr>
      <w:r>
        <w:rPr>
          <w:rFonts w:ascii="Calibri" w:cs="Calibri" w:eastAsia="Calibri" w:hAnsi="Calibri"/>
          <w:b/>
          <w:bCs/>
          <w:color w:val="1A1A1A"/>
          <w:sz w:val="21"/>
          <w:szCs w:val="21"/>
        </w:rPr>
        <w:t xml:space="preserve">(c) Count reconciliation.</w:t>
      </w:r>
    </w:p>
    <w:p>
      <w:pPr>
        <w:spacing w:after="120"/>
      </w:pPr>
      <w:r>
        <w:rPr>
          <w:rFonts w:ascii="Calibri" w:cs="Calibri" w:eastAsia="Calibri" w:hAnsi="Calibri"/>
          <w:color w:val="1A1A1A"/>
          <w:sz w:val="21"/>
          <w:szCs w:val="21"/>
        </w:rPr>
        <w:t xml:space="preserve">Covered counts are reconciled monthly against Provider's management tools. Users or devices added during a month are added to the next invoice at the unit rates above; removals take effect on the next invoice after Client's written request. A change of more than [10]% in total covered users requires an amended Order or Change Order.</w:t>
      </w:r>
    </w:p>
    <w:p>
      <w:pPr>
        <w:pStyle w:val="Heading1"/>
        <w:spacing w:after="120" w:before="280"/>
      </w:pPr>
      <w:r>
        <w:rPr>
          <w:rFonts w:ascii="Calibri" w:cs="Calibri" w:eastAsia="Calibri" w:hAnsi="Calibri"/>
          <w:b/>
          <w:bCs/>
          <w:color w:val="E57D31"/>
          <w:sz w:val="26"/>
          <w:szCs w:val="26"/>
        </w:rPr>
        <w:t xml:space="preserve">4. On-Site Support and Hourly Work</w:t>
      </w:r>
    </w:p>
    <w:p>
      <w:pPr>
        <w:spacing w:after="120"/>
      </w:pPr>
      <w:r>
        <w:rPr>
          <w:rFonts w:ascii="Calibri" w:cs="Calibri" w:eastAsia="Calibri" w:hAnsi="Calibri"/>
          <w:color w:val="1A1A1A"/>
          <w:sz w:val="21"/>
          <w:szCs w:val="21"/>
        </w:rPr>
        <w:t xml:space="preserve">The monthly fee includes the on-site allowance stated in Section 2. On-site work beyond the allowance, out-of-scope requests, and project work are billed at Provider's then-current hourly rates: currently $110 per hour remote and $220 per hour on-site for clients under agreement, with a 30-minute minimum (remote) and 1-hour minimum (on-site). After-hours work bills at 1.5x and holiday work at 2x the applicable rate, as stated in the MSA. Onboarding and migration work is quoted and billed separately.</w:t>
      </w:r>
    </w:p>
    <w:p>
      <w:pPr>
        <w:pStyle w:val="Heading1"/>
        <w:spacing w:after="120" w:before="280"/>
      </w:pPr>
      <w:r>
        <w:rPr>
          <w:rFonts w:ascii="Calibri" w:cs="Calibri" w:eastAsia="Calibri" w:hAnsi="Calibri"/>
          <w:b/>
          <w:bCs/>
          <w:color w:val="E57D31"/>
          <w:sz w:val="26"/>
          <w:szCs w:val="26"/>
        </w:rPr>
        <w:t xml:space="preserve">5. Insurance Values Deferred by the MSA</w:t>
      </w:r>
    </w:p>
    <w:p>
      <w:pPr>
        <w:spacing w:after="120"/>
      </w:pPr>
      <w:r>
        <w:rPr>
          <w:rFonts w:ascii="Calibri" w:cs="Calibri" w:eastAsia="Calibri" w:hAnsi="Calibri"/>
          <w:color w:val="1A1A1A"/>
          <w:sz w:val="21"/>
          <w:szCs w:val="21"/>
        </w:rPr>
        <w:t xml:space="preserve">Where the MSA defers an insurance value to the Order: Client's cyber liability minimum for this engagement is $[___ / not required]. [If applicable per client: Client's insurance is primary over Provider's for the matters stated in MSA Section [__].]</w:t>
      </w:r>
    </w:p>
    <w:p>
      <w:pPr>
        <w:pStyle w:val="Heading1"/>
        <w:spacing w:after="120" w:before="280"/>
      </w:pPr>
      <w:r>
        <w:rPr>
          <w:rFonts w:ascii="Calibri" w:cs="Calibri" w:eastAsia="Calibri" w:hAnsi="Calibri"/>
          <w:b/>
          <w:bCs/>
          <w:color w:val="E57D31"/>
          <w:sz w:val="26"/>
          <w:szCs w:val="26"/>
        </w:rPr>
        <w:t xml:space="preserve">6. Early Termination</w:t>
      </w:r>
    </w:p>
    <w:p>
      <w:pPr>
        <w:spacing w:after="120"/>
      </w:pPr>
      <w:r>
        <w:rPr>
          <w:rFonts w:ascii="Calibri" w:cs="Calibri" w:eastAsia="Calibri" w:hAnsi="Calibri"/>
          <w:color w:val="1A1A1A"/>
          <w:sz w:val="21"/>
          <w:szCs w:val="21"/>
        </w:rPr>
        <w:t xml:space="preserve">If Client terminates this Order before the end of the then-current term other than for Provider's uncured material breach under the MSA, Client will pay, as liquidated damages and not as a penalty, an amount equal to 50% of the monthly fees remaining in the then-current term, due within 30 days of the termination effective date. The parties agree this reflects a reasonable estimate of Provider's losses, including the term-based discount already applied to fees. Offboarding assistance and data return are provided as stated in the MSA [and DPA, if attached].</w:t>
      </w:r>
    </w:p>
    <w:p>
      <w:pPr>
        <w:pStyle w:val="Heading1"/>
        <w:spacing w:after="120" w:before="280"/>
      </w:pPr>
      <w:r>
        <w:rPr>
          <w:rFonts w:ascii="Calibri" w:cs="Calibri" w:eastAsia="Calibri" w:hAnsi="Calibri"/>
          <w:b/>
          <w:bCs/>
          <w:color w:val="E57D31"/>
          <w:sz w:val="26"/>
          <w:szCs w:val="26"/>
        </w:rPr>
        <w:t xml:space="preserve">7. Entire Order</w:t>
      </w:r>
    </w:p>
    <w:p>
      <w:pPr>
        <w:spacing w:after="120"/>
      </w:pPr>
      <w:r>
        <w:rPr>
          <w:rFonts w:ascii="Calibri" w:cs="Calibri" w:eastAsia="Calibri" w:hAnsi="Calibri"/>
          <w:color w:val="1A1A1A"/>
          <w:sz w:val="21"/>
          <w:szCs w:val="21"/>
        </w:rPr>
        <w:t xml:space="preserve">This Order, its schedules, and the MSA are the entire agreement for this engagement. Signatures below may be electronic.</w:t>
      </w:r>
    </w:p>
    <w:p>
      <w:pPr>
        <w:spacing w:after="120"/>
      </w:pPr>
      <w:r>
        <w:rPr>
          <w:rFonts w:ascii="Calibri" w:cs="Calibri" w:eastAsia="Calibri" w:hAnsi="Calibri"/>
          <w:color w:val="1A1A1A"/>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{{COMPANY_LEGAL_NAME}} (Provider)</w:t>
            </w:r>
          </w:p>
        </w:tc>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[Client legal name] (Client)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r>
    </w:tbl>
    <w:p>
      <w:r>
        <w:br w:type="page"/>
      </w:r>
    </w:p>
    <w:p>
      <w:pPr>
        <w:pStyle w:val="Heading1"/>
        <w:spacing w:after="120" w:before="280"/>
      </w:pPr>
      <w:r>
        <w:rPr>
          <w:rFonts w:ascii="Calibri" w:cs="Calibri" w:eastAsia="Calibri" w:hAnsi="Calibri"/>
          <w:b/>
          <w:bCs/>
          <w:color w:val="E57D31"/>
          <w:sz w:val="26"/>
          <w:szCs w:val="26"/>
        </w:rPr>
        <w:t xml:space="preserve">Schedule A: Service Levels</w:t>
      </w:r>
    </w:p>
    <w:p>
      <w:pPr>
        <w:spacing w:after="120"/>
      </w:pPr>
      <w:r>
        <w:rPr>
          <w:rFonts w:ascii="Calibri" w:cs="Calibri" w:eastAsia="Calibri" w:hAnsi="Calibri"/>
          <w:color w:val="1A1A1A"/>
          <w:sz w:val="21"/>
          <w:szCs w:val="21"/>
        </w:rPr>
        <w:t xml:space="preserve">This Schedule states the response commitments for this Order. It is part of the Order and subject to the MSA, including its limitation of liability.</w:t>
      </w:r>
    </w:p>
    <w:p>
      <w:pPr>
        <w:spacing w:after="120"/>
      </w:pPr>
      <w:r>
        <w:rPr>
          <w:rFonts w:ascii="Calibri" w:cs="Calibri" w:eastAsia="Calibri" w:hAnsi="Calibri"/>
          <w:b/>
          <w:bCs/>
          <w:color w:val="1A1A1A"/>
          <w:sz w:val="21"/>
          <w:szCs w:val="21"/>
        </w:rPr>
        <w:t xml:space="preserve">Business hours.</w:t>
      </w:r>
    </w:p>
    <w:p>
      <w:pPr>
        <w:spacing w:after="120"/>
      </w:pPr>
      <w:r>
        <w:rPr>
          <w:rFonts w:ascii="Calibri" w:cs="Calibri" w:eastAsia="Calibri" w:hAnsi="Calibri"/>
          <w:color w:val="1A1A1A"/>
          <w:sz w:val="21"/>
          <w:szCs w:val="21"/>
        </w:rPr>
        <w:t xml:space="preserve">8:00 am to 6:00 pm {{TIMEZONE}}, Monday through Friday, excluding Provider's listed holidays. Support intake: {{SUPPORT_EMAIL}}, {{PHONE}}, or the client portal where enabled. After-hours support is available for Priority 1 issues by phone at {{PHONE}}.</w:t>
      </w:r>
    </w:p>
    <w:p>
      <w:pPr>
        <w:spacing w:after="120"/>
      </w:pPr>
      <w:r>
        <w:rPr>
          <w:rFonts w:ascii="Calibri" w:cs="Calibri" w:eastAsia="Calibri" w:hAnsi="Calibri"/>
          <w:b/>
          <w:bCs/>
          <w:color w:val="1A1A1A"/>
          <w:sz w:val="21"/>
          <w:szCs w:val="21"/>
        </w:rPr>
        <w:t xml:space="preserve">Priorities and response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200"/>
        <w:gridCol w:w="1800"/>
        <w:gridCol w:w="1860"/>
      </w:tblGrid>
      <w:tr>
        <w:tc>
          <w:tcPr>
            <w:tcW w:type="dxa" w:w="15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Priority</w:t>
            </w:r>
          </w:p>
        </w:tc>
        <w:tc>
          <w:tcPr>
            <w:tcW w:type="dxa" w:w="42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Definition (plain English)</w:t>
            </w:r>
          </w:p>
        </w:tc>
        <w:tc>
          <w:tcPr>
            <w:tcW w:type="dxa" w:w="18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First response</w:t>
            </w:r>
          </w:p>
        </w:tc>
        <w:tc>
          <w:tcPr>
            <w:tcW w:type="dxa" w:w="186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Working rhythm</w:t>
            </w:r>
          </w:p>
        </w:tc>
      </w:tr>
      <w:tr>
        <w:tc>
          <w:tcPr>
            <w:tcW w:type="dxa" w:w="1500"/>
            <w:tcMar>
              <w:top w:type="dxa" w:w="60"/>
              <w:left w:type="dxa" w:w="100"/>
              <w:bottom w:type="dxa" w:w="60"/>
              <w:right w:type="dxa" w:w="100"/>
            </w:tcMar>
          </w:tcPr>
          <w:p>
            <w:r>
              <w:rPr>
                <w:rFonts w:ascii="Calibri" w:cs="Calibri" w:eastAsia="Calibri" w:hAnsi="Calibri"/>
                <w:b w:val="false"/>
                <w:bCs w:val="false"/>
                <w:color w:val="1A1A1A"/>
                <w:sz w:val="20"/>
                <w:szCs w:val="20"/>
              </w:rPr>
              <w:t xml:space="preserve">P1 Critical</w:t>
            </w:r>
          </w:p>
        </w:tc>
        <w:tc>
          <w:tcPr>
            <w:tcW w:type="dxa" w:w="4200"/>
            <w:tcMar>
              <w:top w:type="dxa" w:w="60"/>
              <w:left w:type="dxa" w:w="100"/>
              <w:bottom w:type="dxa" w:w="60"/>
              <w:right w:type="dxa" w:w="100"/>
            </w:tcMar>
          </w:tcPr>
          <w:p>
            <w:r>
              <w:rPr>
                <w:rFonts w:ascii="Calibri" w:cs="Calibri" w:eastAsia="Calibri" w:hAnsi="Calibri"/>
                <w:b w:val="false"/>
                <w:bCs w:val="false"/>
                <w:color w:val="1A1A1A"/>
                <w:sz w:val="20"/>
                <w:szCs w:val="20"/>
              </w:rPr>
              <w:t xml:space="preserve">The business is stopped, or an active security incident, with no workaround</w:t>
            </w:r>
          </w:p>
        </w:tc>
        <w:tc>
          <w:tcPr>
            <w:tcW w:type="dxa" w:w="1800"/>
            <w:tcMar>
              <w:top w:type="dxa" w:w="60"/>
              <w:left w:type="dxa" w:w="100"/>
              <w:bottom w:type="dxa" w:w="60"/>
              <w:right w:type="dxa" w:w="100"/>
            </w:tcMar>
          </w:tcPr>
          <w:p>
            <w:r>
              <w:rPr>
                <w:rFonts w:ascii="Calibri" w:cs="Calibri" w:eastAsia="Calibri" w:hAnsi="Calibri"/>
                <w:b w:val="false"/>
                <w:bCs w:val="false"/>
                <w:color w:val="1A1A1A"/>
                <w:sz w:val="20"/>
                <w:szCs w:val="20"/>
              </w:rPr>
              <w:t xml:space="preserve">30 minutes</w:t>
            </w:r>
          </w:p>
        </w:tc>
        <w:tc>
          <w:tcPr>
            <w:tcW w:type="dxa" w:w="1860"/>
            <w:tcMar>
              <w:top w:type="dxa" w:w="60"/>
              <w:left w:type="dxa" w:w="100"/>
              <w:bottom w:type="dxa" w:w="60"/>
              <w:right w:type="dxa" w:w="100"/>
            </w:tcMar>
          </w:tcPr>
          <w:p>
            <w:r>
              <w:rPr>
                <w:rFonts w:ascii="Calibri" w:cs="Calibri" w:eastAsia="Calibri" w:hAnsi="Calibri"/>
                <w:b w:val="false"/>
                <w:bCs w:val="false"/>
                <w:color w:val="1A1A1A"/>
                <w:sz w:val="20"/>
                <w:szCs w:val="20"/>
              </w:rPr>
              <w:t xml:space="preserve">Continuous until resolved or contained; updates at least hourly</w:t>
            </w:r>
          </w:p>
        </w:tc>
      </w:tr>
      <w:tr>
        <w:tc>
          <w:tcPr>
            <w:tcW w:type="dxa" w:w="1500"/>
            <w:tcMar>
              <w:top w:type="dxa" w:w="60"/>
              <w:left w:type="dxa" w:w="100"/>
              <w:bottom w:type="dxa" w:w="60"/>
              <w:right w:type="dxa" w:w="100"/>
            </w:tcMar>
          </w:tcPr>
          <w:p>
            <w:r>
              <w:rPr>
                <w:rFonts w:ascii="Calibri" w:cs="Calibri" w:eastAsia="Calibri" w:hAnsi="Calibri"/>
                <w:b w:val="false"/>
                <w:bCs w:val="false"/>
                <w:color w:val="1A1A1A"/>
                <w:sz w:val="20"/>
                <w:szCs w:val="20"/>
              </w:rPr>
              <w:t xml:space="preserve">P2 High</w:t>
            </w:r>
          </w:p>
        </w:tc>
        <w:tc>
          <w:tcPr>
            <w:tcW w:type="dxa" w:w="4200"/>
            <w:tcMar>
              <w:top w:type="dxa" w:w="60"/>
              <w:left w:type="dxa" w:w="100"/>
              <w:bottom w:type="dxa" w:w="60"/>
              <w:right w:type="dxa" w:w="100"/>
            </w:tcMar>
          </w:tcPr>
          <w:p>
            <w:r>
              <w:rPr>
                <w:rFonts w:ascii="Calibri" w:cs="Calibri" w:eastAsia="Calibri" w:hAnsi="Calibri"/>
                <w:b w:val="false"/>
                <w:bCs w:val="false"/>
                <w:color w:val="1A1A1A"/>
                <w:sz w:val="20"/>
                <w:szCs w:val="20"/>
              </w:rPr>
              <w:t xml:space="preserve">A department or several people blocked; core service degraded</w:t>
            </w:r>
          </w:p>
        </w:tc>
        <w:tc>
          <w:tcPr>
            <w:tcW w:type="dxa" w:w="1800"/>
            <w:tcMar>
              <w:top w:type="dxa" w:w="60"/>
              <w:left w:type="dxa" w:w="100"/>
              <w:bottom w:type="dxa" w:w="60"/>
              <w:right w:type="dxa" w:w="100"/>
            </w:tcMar>
          </w:tcPr>
          <w:p>
            <w:r>
              <w:rPr>
                <w:rFonts w:ascii="Calibri" w:cs="Calibri" w:eastAsia="Calibri" w:hAnsi="Calibri"/>
                <w:b w:val="false"/>
                <w:bCs w:val="false"/>
                <w:color w:val="1A1A1A"/>
                <w:sz w:val="20"/>
                <w:szCs w:val="20"/>
              </w:rPr>
              <w:t xml:space="preserve">2 business hours</w:t>
            </w:r>
          </w:p>
        </w:tc>
        <w:tc>
          <w:tcPr>
            <w:tcW w:type="dxa" w:w="1860"/>
            <w:tcMar>
              <w:top w:type="dxa" w:w="60"/>
              <w:left w:type="dxa" w:w="100"/>
              <w:bottom w:type="dxa" w:w="60"/>
              <w:right w:type="dxa" w:w="100"/>
            </w:tcMar>
          </w:tcPr>
          <w:p>
            <w:r>
              <w:rPr>
                <w:rFonts w:ascii="Calibri" w:cs="Calibri" w:eastAsia="Calibri" w:hAnsi="Calibri"/>
                <w:b w:val="false"/>
                <w:bCs w:val="false"/>
                <w:color w:val="1A1A1A"/>
                <w:sz w:val="20"/>
                <w:szCs w:val="20"/>
              </w:rPr>
              <w:t xml:space="preserve">Same business day; updates at least daily</w:t>
            </w:r>
          </w:p>
        </w:tc>
      </w:tr>
      <w:tr>
        <w:tc>
          <w:tcPr>
            <w:tcW w:type="dxa" w:w="1500"/>
            <w:tcMar>
              <w:top w:type="dxa" w:w="60"/>
              <w:left w:type="dxa" w:w="100"/>
              <w:bottom w:type="dxa" w:w="60"/>
              <w:right w:type="dxa" w:w="100"/>
            </w:tcMar>
          </w:tcPr>
          <w:p>
            <w:r>
              <w:rPr>
                <w:rFonts w:ascii="Calibri" w:cs="Calibri" w:eastAsia="Calibri" w:hAnsi="Calibri"/>
                <w:b w:val="false"/>
                <w:bCs w:val="false"/>
                <w:color w:val="1A1A1A"/>
                <w:sz w:val="20"/>
                <w:szCs w:val="20"/>
              </w:rPr>
              <w:t xml:space="preserve">P3 Normal</w:t>
            </w:r>
          </w:p>
        </w:tc>
        <w:tc>
          <w:tcPr>
            <w:tcW w:type="dxa" w:w="4200"/>
            <w:tcMar>
              <w:top w:type="dxa" w:w="60"/>
              <w:left w:type="dxa" w:w="100"/>
              <w:bottom w:type="dxa" w:w="60"/>
              <w:right w:type="dxa" w:w="100"/>
            </w:tcMar>
          </w:tcPr>
          <w:p>
            <w:r>
              <w:rPr>
                <w:rFonts w:ascii="Calibri" w:cs="Calibri" w:eastAsia="Calibri" w:hAnsi="Calibri"/>
                <w:b w:val="false"/>
                <w:bCs w:val="false"/>
                <w:color w:val="1A1A1A"/>
                <w:sz w:val="20"/>
                <w:szCs w:val="20"/>
              </w:rPr>
              <w:t xml:space="preserve">One person impaired but working; intermittent issue</w:t>
            </w:r>
          </w:p>
        </w:tc>
        <w:tc>
          <w:tcPr>
            <w:tcW w:type="dxa" w:w="1800"/>
            <w:tcMar>
              <w:top w:type="dxa" w:w="60"/>
              <w:left w:type="dxa" w:w="100"/>
              <w:bottom w:type="dxa" w:w="60"/>
              <w:right w:type="dxa" w:w="100"/>
            </w:tcMar>
          </w:tcPr>
          <w:p>
            <w:r>
              <w:rPr>
                <w:rFonts w:ascii="Calibri" w:cs="Calibri" w:eastAsia="Calibri" w:hAnsi="Calibri"/>
                <w:b w:val="false"/>
                <w:bCs w:val="false"/>
                <w:color w:val="1A1A1A"/>
                <w:sz w:val="20"/>
                <w:szCs w:val="20"/>
              </w:rPr>
              <w:t xml:space="preserve">4 business hours</w:t>
            </w:r>
          </w:p>
        </w:tc>
        <w:tc>
          <w:tcPr>
            <w:tcW w:type="dxa" w:w="1860"/>
            <w:tcMar>
              <w:top w:type="dxa" w:w="60"/>
              <w:left w:type="dxa" w:w="100"/>
              <w:bottom w:type="dxa" w:w="60"/>
              <w:right w:type="dxa" w:w="100"/>
            </w:tcMar>
          </w:tcPr>
          <w:p>
            <w:r>
              <w:rPr>
                <w:rFonts w:ascii="Calibri" w:cs="Calibri" w:eastAsia="Calibri" w:hAnsi="Calibri"/>
                <w:b w:val="false"/>
                <w:bCs w:val="false"/>
                <w:color w:val="1A1A1A"/>
                <w:sz w:val="20"/>
                <w:szCs w:val="20"/>
              </w:rPr>
              <w:t xml:space="preserve">Resolve or schedule within 3 business days</w:t>
            </w:r>
          </w:p>
        </w:tc>
      </w:tr>
      <w:tr>
        <w:tc>
          <w:tcPr>
            <w:tcW w:type="dxa" w:w="1500"/>
            <w:tcMar>
              <w:top w:type="dxa" w:w="60"/>
              <w:left w:type="dxa" w:w="100"/>
              <w:bottom w:type="dxa" w:w="60"/>
              <w:right w:type="dxa" w:w="100"/>
            </w:tcMar>
          </w:tcPr>
          <w:p>
            <w:r>
              <w:rPr>
                <w:rFonts w:ascii="Calibri" w:cs="Calibri" w:eastAsia="Calibri" w:hAnsi="Calibri"/>
                <w:b w:val="false"/>
                <w:bCs w:val="false"/>
                <w:color w:val="1A1A1A"/>
                <w:sz w:val="20"/>
                <w:szCs w:val="20"/>
              </w:rPr>
              <w:t xml:space="preserve">P4 Low</w:t>
            </w:r>
          </w:p>
        </w:tc>
        <w:tc>
          <w:tcPr>
            <w:tcW w:type="dxa" w:w="4200"/>
            <w:tcMar>
              <w:top w:type="dxa" w:w="60"/>
              <w:left w:type="dxa" w:w="100"/>
              <w:bottom w:type="dxa" w:w="60"/>
              <w:right w:type="dxa" w:w="100"/>
            </w:tcMar>
          </w:tcPr>
          <w:p>
            <w:r>
              <w:rPr>
                <w:rFonts w:ascii="Calibri" w:cs="Calibri" w:eastAsia="Calibri" w:hAnsi="Calibri"/>
                <w:b w:val="false"/>
                <w:bCs w:val="false"/>
                <w:color w:val="1A1A1A"/>
                <w:sz w:val="20"/>
                <w:szCs w:val="20"/>
              </w:rPr>
              <w:t xml:space="preserve">Questions, requests, routine changes, scheduled work</w:t>
            </w:r>
          </w:p>
        </w:tc>
        <w:tc>
          <w:tcPr>
            <w:tcW w:type="dxa" w:w="1800"/>
            <w:tcMar>
              <w:top w:type="dxa" w:w="60"/>
              <w:left w:type="dxa" w:w="100"/>
              <w:bottom w:type="dxa" w:w="60"/>
              <w:right w:type="dxa" w:w="100"/>
            </w:tcMar>
          </w:tcPr>
          <w:p>
            <w:r>
              <w:rPr>
                <w:rFonts w:ascii="Calibri" w:cs="Calibri" w:eastAsia="Calibri" w:hAnsi="Calibri"/>
                <w:b w:val="false"/>
                <w:bCs w:val="false"/>
                <w:color w:val="1A1A1A"/>
                <w:sz w:val="20"/>
                <w:szCs w:val="20"/>
              </w:rPr>
              <w:t xml:space="preserve">Next business day</w:t>
            </w:r>
          </w:p>
        </w:tc>
        <w:tc>
          <w:tcPr>
            <w:tcW w:type="dxa" w:w="1860"/>
            <w:tcMar>
              <w:top w:type="dxa" w:w="60"/>
              <w:left w:type="dxa" w:w="100"/>
              <w:bottom w:type="dxa" w:w="60"/>
              <w:right w:type="dxa" w:w="100"/>
            </w:tcMar>
          </w:tcPr>
          <w:p>
            <w:r>
              <w:rPr>
                <w:rFonts w:ascii="Calibri" w:cs="Calibri" w:eastAsia="Calibri" w:hAnsi="Calibri"/>
                <w:b w:val="false"/>
                <w:bCs w:val="false"/>
                <w:color w:val="1A1A1A"/>
                <w:sz w:val="20"/>
                <w:szCs w:val="20"/>
              </w:rPr>
              <w:t xml:space="preserve">As scheduled</w:t>
            </w:r>
          </w:p>
        </w:tc>
      </w:tr>
    </w:tbl>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color w:val="1A1A1A"/>
          <w:sz w:val="21"/>
          <w:szCs w:val="21"/>
        </w:rPr>
        <w:t xml:space="preserve">First response means a human acknowledgment with a next step, not an automated reply. Any suspected security compromise is handled as P1 regardless of apparent size. After-hours and holiday work bills per Section 4 of this Order.</w:t>
      </w:r>
    </w:p>
    <w:p>
      <w:pPr>
        <w:spacing w:after="120"/>
      </w:pPr>
      <w:r>
        <w:rPr>
          <w:rFonts w:ascii="Calibri" w:cs="Calibri" w:eastAsia="Calibri" w:hAnsi="Calibri"/>
          <w:b/>
          <w:bCs/>
          <w:color w:val="1A1A1A"/>
          <w:sz w:val="21"/>
          <w:szCs w:val="21"/>
        </w:rPr>
        <w:t xml:space="preserve">Service credits.</w:t>
      </w:r>
    </w:p>
    <w:p>
      <w:pPr>
        <w:spacing w:after="120"/>
      </w:pPr>
      <w:r>
        <w:rPr>
          <w:rFonts w:ascii="Calibri" w:cs="Calibri" w:eastAsia="Calibri" w:hAnsi="Calibri"/>
          <w:color w:val="1A1A1A"/>
          <w:sz w:val="21"/>
          <w:szCs w:val="21"/>
        </w:rPr>
        <w:t xml:space="preserve">If, in a calendar month, Provider misses the first-response target for a documented P1 or P2 issue, Client is entitled, on written request within 30 days, to a credit of 5% of that month's monthly fee, capped at 15% of the monthly fee per month in the aggregate. Service credits are Client's sole and exclusive remedy for missed response targets and are subject to the MSA's limitation of liability.</w:t>
      </w:r>
    </w:p>
    <w:p>
      <w:pPr>
        <w:spacing w:after="120"/>
      </w:pPr>
      <w:r>
        <w:rPr>
          <w:rFonts w:ascii="Calibri" w:cs="Calibri" w:eastAsia="Calibri" w:hAnsi="Calibri"/>
          <w:b/>
          <w:bCs/>
          <w:color w:val="1A1A1A"/>
          <w:sz w:val="21"/>
          <w:szCs w:val="21"/>
        </w:rPr>
        <w:t xml:space="preserve">Exclusions.</w:t>
      </w:r>
    </w:p>
    <w:p>
      <w:pPr>
        <w:pStyle w:val="ListParagraph"/>
        <w:numPr>
          <w:ilvl w:val="0"/>
          <w:numId w:val="2"/>
        </w:numPr>
        <w:spacing w:after="80"/>
      </w:pPr>
      <w:r>
        <w:rPr>
          <w:rFonts w:ascii="Calibri" w:cs="Calibri" w:eastAsia="Calibri" w:hAnsi="Calibri"/>
          <w:color w:val="1A1A1A"/>
          <w:sz w:val="21"/>
          <w:szCs w:val="21"/>
        </w:rPr>
        <w:t xml:space="preserve">Issues caused by Client's breach of its MSA responsibilities, or by systems or changes Client made against Provider's written recommendation (including any signed Risk Acceptance Waiver).</w:t>
      </w:r>
    </w:p>
    <w:p>
      <w:pPr>
        <w:pStyle w:val="ListParagraph"/>
        <w:numPr>
          <w:ilvl w:val="0"/>
          <w:numId w:val="2"/>
        </w:numPr>
        <w:spacing w:after="80"/>
      </w:pPr>
      <w:r>
        <w:rPr>
          <w:rFonts w:ascii="Calibri" w:cs="Calibri" w:eastAsia="Calibri" w:hAnsi="Calibri"/>
          <w:color w:val="1A1A1A"/>
          <w:sz w:val="21"/>
          <w:szCs w:val="21"/>
        </w:rPr>
        <w:t xml:space="preserve">Third-party outages outside Provider's control (carrier, cloud platform, or vendor outages), though Provider manages the vendor per the covered services.</w:t>
      </w:r>
    </w:p>
    <w:p>
      <w:pPr>
        <w:pStyle w:val="ListParagraph"/>
        <w:numPr>
          <w:ilvl w:val="0"/>
          <w:numId w:val="2"/>
        </w:numPr>
        <w:spacing w:after="80"/>
      </w:pPr>
      <w:r>
        <w:rPr>
          <w:rFonts w:ascii="Calibri" w:cs="Calibri" w:eastAsia="Calibri" w:hAnsi="Calibri"/>
          <w:color w:val="1A1A1A"/>
          <w:sz w:val="21"/>
          <w:szCs w:val="21"/>
        </w:rPr>
        <w:t xml:space="preserve">Scheduled maintenance announced in advance, and emergency maintenance reasonably required.</w:t>
      </w:r>
    </w:p>
    <w:p>
      <w:pPr>
        <w:pStyle w:val="ListParagraph"/>
        <w:numPr>
          <w:ilvl w:val="0"/>
          <w:numId w:val="2"/>
        </w:numPr>
        <w:spacing w:after="80"/>
      </w:pPr>
      <w:r>
        <w:rPr>
          <w:rFonts w:ascii="Calibri" w:cs="Calibri" w:eastAsia="Calibri" w:hAnsi="Calibri"/>
          <w:color w:val="1A1A1A"/>
          <w:sz w:val="21"/>
          <w:szCs w:val="21"/>
        </w:rPr>
        <w:t xml:space="preserve">Events covered by the MSA's force majeure provision.</w:t>
      </w:r>
    </w:p>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b/>
          <w:bCs/>
          <w:color w:val="1A1A1A"/>
          <w:sz w:val="21"/>
          <w:szCs w:val="21"/>
        </w:rPr>
        <w:t xml:space="preserve">Reporting.</w:t>
      </w:r>
    </w:p>
    <w:p>
      <w:pPr>
        <w:spacing w:after="120"/>
      </w:pPr>
      <w:r>
        <w:rPr>
          <w:rFonts w:ascii="Calibri" w:cs="Calibri" w:eastAsia="Calibri" w:hAnsi="Calibri"/>
          <w:color w:val="1A1A1A"/>
          <w:sz w:val="21"/>
          <w:szCs w:val="21"/>
        </w:rPr>
        <w:t xml:space="preserve">Provider reports performance against these targets in the recurring business review.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2026-07-18T01:23:28.617Z</dcterms:created>
  <dcterms:modified xsi:type="dcterms:W3CDTF">2026-07-18T01:23:28.617Z</dcterms:modified>
</cp:coreProperties>
</file>

<file path=docProps/custom.xml><?xml version="1.0" encoding="utf-8"?>
<Properties xmlns="http://schemas.openxmlformats.org/officeDocument/2006/custom-properties" xmlns:vt="http://schemas.openxmlformats.org/officeDocument/2006/docPropsVTypes"/>
</file>