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DF0E6" w:val="clear"/>
        <w:spacing w:after="160"/>
      </w:pPr>
      <w:r>
        <w:rPr>
          <w:rFonts w:ascii="Calibri" w:cs="Calibri" w:eastAsia="Calibri" w:hAnsi="Calibri"/>
          <w:i/>
          <w:iCs/>
          <w:color w:val="666666"/>
          <w:sz w:val="18"/>
          <w:szCs w:val="18"/>
        </w:rPr>
        <w:t xml:space="preserve">EXAMPLE TEMPLATE. DRAFT ONLY. This document is a starting point from another MSP's practice, not legal advice. Have an attorney licensed in {{STATE}} review and adapt it before any use. Bracketed fields are per-client entries.</w:t>
      </w:r>
    </w:p>
    <w:p>
      <w:pPr>
        <w:spacing w:after="60"/>
      </w:pPr>
      <w:r>
        <w:rPr>
          <w:rFonts w:ascii="Calibri" w:cs="Calibri" w:eastAsia="Calibri" w:hAnsi="Calibri"/>
          <w:b/>
          <w:bCs/>
          <w:color w:val="1A1A1A"/>
          <w:sz w:val="28"/>
          <w:szCs w:val="28"/>
        </w:rPr>
        <w:t xml:space="preserve">{{COMPANY_LEGAL_NAME}}</w:t>
      </w:r>
    </w:p>
    <w:p>
      <w:pPr>
        <w:spacing w:after="40"/>
      </w:pPr>
      <w:r>
        <w:rPr>
          <w:rFonts w:ascii="Calibri" w:cs="Calibri" w:eastAsia="Calibri" w:hAnsi="Calibri"/>
          <w:b/>
          <w:bCs/>
          <w:color w:val="1A1A1A"/>
          <w:sz w:val="40"/>
          <w:szCs w:val="40"/>
        </w:rPr>
        <w:t xml:space="preserve">RISK ACCEPTANCE WAIVER</w:t>
      </w:r>
    </w:p>
    <w:p>
      <w:pPr>
        <w:pBdr>
          <w:bottom w:val="single" w:color="E57D31" w:sz="12"/>
        </w:pBdr>
        <w:spacing w:after="240"/>
      </w:pPr>
      <w:r>
        <w:rPr>
          <w:rFonts w:ascii="Calibri" w:cs="Calibri" w:eastAsia="Calibri" w:hAnsi="Calibri"/>
          <w:color w:val="666666"/>
          <w:sz w:val="22"/>
          <w:szCs w:val="22"/>
        </w:rPr>
        <w:t xml:space="preserve">Under the Master Services Agreement between {{COMPANY_LEGAL_NAME}} and [Client legal name]</w:t>
      </w:r>
    </w:p>
    <w:p>
      <w:pPr>
        <w:spacing w:after="120"/>
      </w:pPr>
      <w:r>
        <w:rPr>
          <w:rFonts w:ascii="Calibri" w:cs="Calibri" w:eastAsia="Calibri" w:hAnsi="Calibri"/>
          <w:color w:val="1A1A1A"/>
          <w:sz w:val="21"/>
          <w:szCs w:val="21"/>
        </w:rPr>
        <w:t xml:space="preserve">This short form records a decision Client has made about a recommendation from Provider. It is written in plain English on purpose. One recommendation per form. It is part of the Master Services Agreement between the parties dated [MSA date] (the "MSA") and is governed by {{STATE}} law, like the MSA.</w:t>
      </w:r>
    </w:p>
    <w:p>
      <w:pPr>
        <w:pStyle w:val="Heading1"/>
        <w:spacing w:after="100" w:before="260"/>
      </w:pPr>
      <w:r>
        <w:rPr>
          <w:rFonts w:ascii="Calibri" w:cs="Calibri" w:eastAsia="Calibri" w:hAnsi="Calibri"/>
          <w:b/>
          <w:bCs/>
          <w:color w:val="E57D31"/>
          <w:sz w:val="26"/>
          <w:szCs w:val="26"/>
        </w:rPr>
        <w:t xml:space="preserve">1. What Provider Recommended</w:t>
      </w:r>
    </w:p>
    <w:p>
      <w:pPr>
        <w:spacing w:after="120"/>
      </w:pPr>
      <w:r>
        <w:rPr>
          <w:rFonts w:ascii="Calibri" w:cs="Calibri" w:eastAsia="Calibri" w:hAnsi="Calibri"/>
          <w:color w:val="1A1A1A"/>
          <w:sz w:val="21"/>
          <w:szCs w:val="21"/>
        </w:rPr>
        <w:t xml:space="preserve">On [date], {{COMPANY_LEGAL_NAME}} ("Provider") recommended the following to [Client legal name] ("Client"):</w:t>
      </w:r>
    </w:p>
    <w:p>
      <w:pPr>
        <w:spacing w:after="120"/>
      </w:pPr>
      <w:r>
        <w:rPr>
          <w:rFonts w:ascii="Calibri" w:cs="Calibri" w:eastAsia="Calibri" w:hAnsi="Calibri"/>
          <w:i/>
          <w:iCs/>
          <w:color w:val="1A1A1A"/>
          <w:sz w:val="21"/>
          <w:szCs w:val="21"/>
        </w:rPr>
        <w:t xml:space="preserve">[The recommendation, in plain English. Example: turn on multi-factor authentication for every email account, so a stolen password alone is not enough to get in.]</w:t>
      </w:r>
    </w:p>
    <w:p>
      <w:pPr>
        <w:pStyle w:val="Heading1"/>
        <w:spacing w:after="100" w:before="260"/>
      </w:pPr>
      <w:r>
        <w:rPr>
          <w:rFonts w:ascii="Calibri" w:cs="Calibri" w:eastAsia="Calibri" w:hAnsi="Calibri"/>
          <w:b/>
          <w:bCs/>
          <w:color w:val="E57D31"/>
          <w:sz w:val="26"/>
          <w:szCs w:val="26"/>
        </w:rPr>
        <w:t xml:space="preserve">2. The Risk of Saying No</w:t>
      </w:r>
    </w:p>
    <w:p>
      <w:pPr>
        <w:spacing w:after="120"/>
      </w:pPr>
      <w:r>
        <w:rPr>
          <w:rFonts w:ascii="Calibri" w:cs="Calibri" w:eastAsia="Calibri" w:hAnsi="Calibri"/>
          <w:color w:val="1A1A1A"/>
          <w:sz w:val="21"/>
          <w:szCs w:val="21"/>
        </w:rPr>
        <w:t xml:space="preserve">Provider explained, in plain terms, what could happen without it:</w:t>
      </w:r>
    </w:p>
    <w:p>
      <w:pPr>
        <w:spacing w:after="120"/>
      </w:pPr>
      <w:r>
        <w:rPr>
          <w:rFonts w:ascii="Calibri" w:cs="Calibri" w:eastAsia="Calibri" w:hAnsi="Calibri"/>
          <w:i/>
          <w:iCs/>
          <w:color w:val="1A1A1A"/>
          <w:sz w:val="21"/>
          <w:szCs w:val="21"/>
        </w:rPr>
        <w:t xml:space="preserve">[The risk, in plain English, stated plainly and without exaggeration. Example: if a password is stolen or guessed, an attacker can read your email, send invoices that look like they came from you, and reset your other accounts. Cleaning that up costs real money and time, and your insurance may not cover it.]</w:t>
      </w:r>
    </w:p>
    <w:p>
      <w:pPr>
        <w:pStyle w:val="Heading1"/>
        <w:spacing w:after="100" w:before="260"/>
      </w:pPr>
      <w:r>
        <w:rPr>
          <w:rFonts w:ascii="Calibri" w:cs="Calibri" w:eastAsia="Calibri" w:hAnsi="Calibri"/>
          <w:b/>
          <w:bCs/>
          <w:color w:val="E57D31"/>
          <w:sz w:val="26"/>
          <w:szCs w:val="26"/>
        </w:rPr>
        <w:t xml:space="preserve">3. Client's Decision</w:t>
      </w:r>
    </w:p>
    <w:p>
      <w:pPr>
        <w:spacing w:after="120"/>
      </w:pPr>
      <w:r>
        <w:rPr>
          <w:rFonts w:ascii="Calibri" w:cs="Calibri" w:eastAsia="Calibri" w:hAnsi="Calibri"/>
          <w:color w:val="1A1A1A"/>
          <w:sz w:val="21"/>
          <w:szCs w:val="21"/>
        </w:rPr>
        <w:t xml:space="preserve">Client has decided not to follow this recommendation at this time. Client confirms that this is Client's own decision, made after the risk above was explained in terms Client understands, and that Client had the chance to ask questions.</w:t>
      </w:r>
    </w:p>
    <w:p>
      <w:pPr>
        <w:pStyle w:val="Heading1"/>
        <w:spacing w:after="100" w:before="260"/>
      </w:pPr>
      <w:r>
        <w:rPr>
          <w:rFonts w:ascii="Calibri" w:cs="Calibri" w:eastAsia="Calibri" w:hAnsi="Calibri"/>
          <w:b/>
          <w:bCs/>
          <w:color w:val="E57D31"/>
          <w:sz w:val="26"/>
          <w:szCs w:val="26"/>
        </w:rPr>
        <w:t xml:space="preserve">4. What Client Is Accepting</w:t>
      </w:r>
    </w:p>
    <w:p>
      <w:pPr>
        <w:pStyle w:val="ListParagraph"/>
        <w:numPr>
          <w:ilvl w:val="0"/>
          <w:numId w:val="2"/>
        </w:numPr>
        <w:spacing w:after="80"/>
      </w:pPr>
      <w:r>
        <w:rPr>
          <w:rFonts w:ascii="Calibri" w:cs="Calibri" w:eastAsia="Calibri" w:hAnsi="Calibri"/>
          <w:color w:val="1A1A1A"/>
          <w:sz w:val="21"/>
          <w:szCs w:val="21"/>
        </w:rPr>
        <w:t xml:space="preserve">Client accepts the risks of declining, including the consequences described above and other consequences that reasonably flow from this decision.</w:t>
      </w:r>
    </w:p>
    <w:p>
      <w:pPr>
        <w:pStyle w:val="ListParagraph"/>
        <w:numPr>
          <w:ilvl w:val="0"/>
          <w:numId w:val="2"/>
        </w:numPr>
        <w:spacing w:after="80"/>
      </w:pPr>
      <w:r>
        <w:rPr>
          <w:rFonts w:ascii="Calibri" w:cs="Calibri" w:eastAsia="Calibri" w:hAnsi="Calibri"/>
          <w:color w:val="1A1A1A"/>
          <w:sz w:val="21"/>
          <w:szCs w:val="21"/>
        </w:rPr>
        <w:t xml:space="preserve">Client agrees that the MSA's cost allocations and hold-harmless terms, including its ransomware and security provisions, apply as written to consequences flowing from this declined recommendation. In plain terms: if the thing this recommendation was meant to prevent happens, the cleanup costs sit where the MSA already puts them, with Client.</w:t>
      </w:r>
    </w:p>
    <w:p>
      <w:pPr>
        <w:pStyle w:val="ListParagraph"/>
        <w:numPr>
          <w:ilvl w:val="0"/>
          <w:numId w:val="2"/>
        </w:numPr>
        <w:spacing w:after="80"/>
      </w:pPr>
      <w:r>
        <w:rPr>
          <w:rFonts w:ascii="Calibri" w:cs="Calibri" w:eastAsia="Calibri" w:hAnsi="Calibri"/>
          <w:color w:val="1A1A1A"/>
          <w:sz w:val="21"/>
          <w:szCs w:val="21"/>
        </w:rPr>
        <w:t xml:space="preserve">This form does not change the MSA. As the MSA provides, Provider remains responsible for its own negligence and willful misconduct.</w:t>
      </w:r>
    </w:p>
    <w:p>
      <w:pPr>
        <w:pStyle w:val="ListParagraph"/>
        <w:numPr>
          <w:ilvl w:val="0"/>
          <w:numId w:val="2"/>
        </w:numPr>
        <w:spacing w:after="80"/>
      </w:pPr>
      <w:r>
        <w:rPr>
          <w:rFonts w:ascii="Calibri" w:cs="Calibri" w:eastAsia="Calibri" w:hAnsi="Calibri"/>
          <w:color w:val="1A1A1A"/>
          <w:sz w:val="21"/>
          <w:szCs w:val="21"/>
        </w:rPr>
        <w:t xml:space="preserve">Declining a security recommendation can affect Client's insurance coverage. Checking that is Client's responsibility, and Provider suggests a call with Client's insurance broker.</w:t>
      </w:r>
    </w:p>
    <w:p>
      <w:pPr>
        <w:pStyle w:val="Heading1"/>
        <w:spacing w:after="100" w:before="260"/>
      </w:pPr>
      <w:r>
        <w:rPr>
          <w:rFonts w:ascii="Calibri" w:cs="Calibri" w:eastAsia="Calibri" w:hAnsi="Calibri"/>
          <w:b/>
          <w:bCs/>
          <w:color w:val="E57D31"/>
          <w:sz w:val="26"/>
          <w:szCs w:val="26"/>
        </w:rPr>
        <w:t xml:space="preserve">5. Revisiting This Decision</w:t>
      </w:r>
    </w:p>
    <w:p>
      <w:pPr>
        <w:spacing w:after="120"/>
      </w:pPr>
      <w:r>
        <w:rPr>
          <w:rFonts w:ascii="Calibri" w:cs="Calibri" w:eastAsia="Calibri" w:hAnsi="Calibri"/>
          <w:color w:val="1A1A1A"/>
          <w:sz w:val="21"/>
          <w:szCs w:val="21"/>
        </w:rPr>
        <w:t xml:space="preserve">The parties will revisit this decision by [revisit date] or at the next scheduled business review, whichever comes first. Client may reverse this decision at any time by telling Provider in writing; Provider will then quote and schedule the work.</w:t>
      </w:r>
    </w:p>
    <w:p>
      <w:pPr>
        <w:pStyle w:val="Heading1"/>
        <w:spacing w:after="100" w:before="260"/>
      </w:pPr>
      <w:r>
        <w:rPr>
          <w:rFonts w:ascii="Calibri" w:cs="Calibri" w:eastAsia="Calibri" w:hAnsi="Calibri"/>
          <w:b/>
          <w:bCs/>
          <w:color w:val="E57D31"/>
          <w:sz w:val="26"/>
          <w:szCs w:val="26"/>
        </w:rPr>
        <w:t xml:space="preserve">6. Signatures</w:t>
      </w:r>
    </w:p>
    <w:p>
      <w:pPr>
        <w:spacing w:after="120"/>
      </w:pPr>
      <w:r>
        <w:rPr>
          <w:rFonts w:ascii="Calibri" w:cs="Calibri" w:eastAsia="Calibri" w:hAnsi="Calibri"/>
          <w:color w:val="1A1A1A"/>
          <w:sz w:val="21"/>
          <w:szCs w:val="21"/>
        </w:rPr>
        <w:t xml:space="preserve">Signatures below may be electronic.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{{COMPANY_LEGAL_NAME}} (Provider)</w:t>
            </w:r>
          </w:p>
        </w:tc>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[Client legal name] (Client)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2026-07-18T01:18:52.707Z</dcterms:created>
  <dcterms:modified xsi:type="dcterms:W3CDTF">2026-07-18T01:18:52.707Z</dcterms:modified>
</cp:coreProperties>
</file>

<file path=docProps/custom.xml><?xml version="1.0" encoding="utf-8"?>
<Properties xmlns="http://schemas.openxmlformats.org/officeDocument/2006/custom-properties" xmlns:vt="http://schemas.openxmlformats.org/officeDocument/2006/docPropsVTypes"/>
</file>