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FDF0E6" w:val="clear"/>
        <w:spacing w:after="160"/>
      </w:pPr>
      <w:r>
        <w:rPr>
          <w:rFonts w:ascii="Calibri" w:cs="Calibri" w:eastAsia="Calibri" w:hAnsi="Calibri"/>
          <w:i/>
          <w:iCs/>
          <w:color w:val="666666"/>
          <w:sz w:val="18"/>
          <w:szCs w:val="18"/>
        </w:rPr>
        <w:t xml:space="preserve">EXAMPLE TEMPLATE. DRAFT ONLY. This document is a starting point from another MSP's practice, not legal advice. Have an attorney licensed in {{STATE}} review and adapt it before any use. The attorney also confirms which regulatory regimes actually apply to each client before this DPA is attached for that client. Bracketed fields are per-client entries.</w:t>
      </w:r>
    </w:p>
    <w:p>
      <w:pPr>
        <w:spacing w:after="60"/>
      </w:pPr>
      <w:r>
        <w:rPr>
          <w:rFonts w:ascii="Calibri" w:cs="Calibri" w:eastAsia="Calibri" w:hAnsi="Calibri"/>
          <w:b/>
          <w:bCs/>
          <w:color w:val="1A1A1A"/>
          <w:sz w:val="28"/>
          <w:szCs w:val="28"/>
        </w:rPr>
        <w:t xml:space="preserve">{{COMPANY_LEGAL_NAME}}</w:t>
      </w:r>
    </w:p>
    <w:p>
      <w:pPr>
        <w:spacing w:after="40"/>
      </w:pPr>
      <w:r>
        <w:rPr>
          <w:rFonts w:ascii="Calibri" w:cs="Calibri" w:eastAsia="Calibri" w:hAnsi="Calibri"/>
          <w:b/>
          <w:bCs/>
          <w:color w:val="1A1A1A"/>
          <w:sz w:val="40"/>
          <w:szCs w:val="40"/>
        </w:rPr>
        <w:t xml:space="preserve">DATA PROCESSING AGREEMENT</w:t>
      </w:r>
    </w:p>
    <w:p>
      <w:pPr>
        <w:pBdr>
          <w:bottom w:val="single" w:color="E57D31" w:sz="12"/>
        </w:pBdr>
        <w:spacing w:after="240"/>
      </w:pPr>
      <w:r>
        <w:rPr>
          <w:rFonts w:ascii="Calibri" w:cs="Calibri" w:eastAsia="Calibri" w:hAnsi="Calibri"/>
          <w:color w:val="666666"/>
          <w:sz w:val="22"/>
          <w:szCs w:val="22"/>
        </w:rPr>
        <w:t xml:space="preserve">Addendum to the Master Services Agreement</w:t>
      </w:r>
    </w:p>
    <w:p>
      <w:pPr>
        <w:pStyle w:val="Heading1"/>
        <w:spacing w:after="120" w:before="280"/>
      </w:pPr>
      <w:r>
        <w:rPr>
          <w:rFonts w:ascii="Calibri" w:cs="Calibri" w:eastAsia="Calibri" w:hAnsi="Calibri"/>
          <w:b/>
          <w:bCs/>
          <w:color w:val="E57D31"/>
          <w:sz w:val="26"/>
          <w:szCs w:val="26"/>
        </w:rPr>
        <w:t xml:space="preserve">1. Parties, MSA Reference, and Purpose</w:t>
      </w:r>
    </w:p>
    <w:p>
      <w:pPr>
        <w:spacing w:after="120"/>
      </w:pPr>
      <w:r>
        <w:rPr>
          <w:rFonts w:ascii="Calibri" w:cs="Calibri" w:eastAsia="Calibri" w:hAnsi="Calibri"/>
          <w:color w:val="1A1A1A"/>
          <w:sz w:val="21"/>
          <w:szCs w:val="21"/>
        </w:rPr>
        <w:t xml:space="preserve">This Data Processing Agreement (the "DPA") is entered into as of [Effective Date] by {{COMPANY_LEGAL_NAME}} ("Provider") and [Client legal name] ("Client"). It is an addendum to, and part of, the Master Services Agreement between the parties dated [MSA date] (the "MSA"). Capitalized terms used but not defined here have the meanings given in the MSA. This DPA is governed by {{STATE}} law, the same as the MSA.</w:t>
      </w:r>
    </w:p>
    <w:p>
      <w:pPr>
        <w:spacing w:after="120"/>
      </w:pPr>
      <w:r>
        <w:rPr>
          <w:rFonts w:ascii="Calibri" w:cs="Calibri" w:eastAsia="Calibri" w:hAnsi="Calibri"/>
          <w:color w:val="1A1A1A"/>
          <w:sz w:val="21"/>
          <w:szCs w:val="21"/>
        </w:rPr>
        <w:t xml:space="preserve">This DPA is attached when the data Provider handles for Client includes regulated or sensitive personal data. It states, in plain terms, what data is covered, what Provider may do with it, how Provider protects it, who else touches it, what happens if something goes wrong, and what happens to the data when the relationship ends. If this DPA conflicts with the MSA, this DPA governs for the covered data; the MSA governs everything else.</w:t>
      </w:r>
    </w:p>
    <w:p>
      <w:pPr>
        <w:spacing w:after="120"/>
      </w:pPr>
      <w:r>
        <w:rPr>
          <w:rFonts w:ascii="Calibri" w:cs="Calibri" w:eastAsia="Calibri" w:hAnsi="Calibri"/>
          <w:color w:val="1A1A1A"/>
          <w:sz w:val="21"/>
          <w:szCs w:val="21"/>
        </w:rPr>
        <w:t xml:space="preserve">[Applicable frameworks for this Client, confirmed by counsel: e.g. {{STATE}} Privacy Act; {{STATE}} childcare licensing records rules; HIPAA via BAA if applicable]</w:t>
      </w:r>
    </w:p>
    <w:p>
      <w:pPr>
        <w:spacing w:after="120"/>
      </w:pPr>
      <w:r>
        <w:rPr>
          <w:rFonts w:ascii="Calibri" w:cs="Calibri" w:eastAsia="Calibri" w:hAnsi="Calibri"/>
          <w:color w:val="1A1A1A"/>
          <w:sz w:val="21"/>
          <w:szCs w:val="21"/>
        </w:rPr>
        <w:t xml:space="preserve">If Client is a HIPAA covered entity and Provider's services touch systems containing protected health information, the parties will sign a Business Associate Agreement; this DPA does not substitute for one.</w:t>
      </w:r>
    </w:p>
    <w:p>
      <w:pPr>
        <w:pStyle w:val="Heading1"/>
        <w:spacing w:after="120" w:before="280"/>
      </w:pPr>
      <w:r>
        <w:rPr>
          <w:rFonts w:ascii="Calibri" w:cs="Calibri" w:eastAsia="Calibri" w:hAnsi="Calibri"/>
          <w:b/>
          <w:bCs/>
          <w:color w:val="E57D31"/>
          <w:sz w:val="26"/>
          <w:szCs w:val="26"/>
        </w:rPr>
        <w:t xml:space="preserve">2. Categories of Data Covered</w:t>
      </w:r>
    </w:p>
    <w:p>
      <w:pPr>
        <w:spacing w:after="120"/>
      </w:pPr>
      <w:r>
        <w:rPr>
          <w:rFonts w:ascii="Calibri" w:cs="Calibri" w:eastAsia="Calibri" w:hAnsi="Calibri"/>
          <w:color w:val="1A1A1A"/>
          <w:sz w:val="21"/>
          <w:szCs w:val="21"/>
        </w:rPr>
        <w:t xml:space="preserve">"Covered Data" means the personal data in the categories checked below that Provider accesses, stores, transmits, or otherwise handles in delivering the services. Check all that apply for this Client:</w:t>
      </w:r>
    </w:p>
    <w:p>
      <w:pPr>
        <w:pStyle w:val="ListParagraph"/>
        <w:numPr>
          <w:ilvl w:val="0"/>
          <w:numId w:val="2"/>
        </w:numPr>
        <w:spacing w:after="80"/>
      </w:pPr>
      <w:r>
        <w:rPr>
          <w:rFonts w:ascii="Calibri" w:cs="Calibri" w:eastAsia="Calibri" w:hAnsi="Calibri"/>
          <w:color w:val="1A1A1A"/>
          <w:sz w:val="21"/>
          <w:szCs w:val="21"/>
        </w:rPr>
        <w:t xml:space="preserve">[ ] Employee records (HR files, payroll-related data, contact details)</w:t>
      </w:r>
    </w:p>
    <w:p>
      <w:pPr>
        <w:pStyle w:val="ListParagraph"/>
        <w:numPr>
          <w:ilvl w:val="0"/>
          <w:numId w:val="2"/>
        </w:numPr>
        <w:spacing w:after="80"/>
      </w:pPr>
      <w:r>
        <w:rPr>
          <w:rFonts w:ascii="Calibri" w:cs="Calibri" w:eastAsia="Calibri" w:hAnsi="Calibri"/>
          <w:color w:val="1A1A1A"/>
          <w:sz w:val="21"/>
          <w:szCs w:val="21"/>
        </w:rPr>
        <w:t xml:space="preserve">[ ] Customer, student, or family records (names, contact details, account history)</w:t>
      </w:r>
    </w:p>
    <w:p>
      <w:pPr>
        <w:pStyle w:val="ListParagraph"/>
        <w:numPr>
          <w:ilvl w:val="0"/>
          <w:numId w:val="2"/>
        </w:numPr>
        <w:spacing w:after="80"/>
      </w:pPr>
      <w:r>
        <w:rPr>
          <w:rFonts w:ascii="Calibri" w:cs="Calibri" w:eastAsia="Calibri" w:hAnsi="Calibri"/>
          <w:color w:val="1A1A1A"/>
          <w:sz w:val="21"/>
          <w:szCs w:val="21"/>
        </w:rPr>
        <w:t xml:space="preserve">[ ] Children's records (enrollment, attendance, emergency contacts, photos)</w:t>
      </w:r>
    </w:p>
    <w:p>
      <w:pPr>
        <w:pStyle w:val="ListParagraph"/>
        <w:numPr>
          <w:ilvl w:val="0"/>
          <w:numId w:val="2"/>
        </w:numPr>
        <w:spacing w:after="80"/>
      </w:pPr>
      <w:r>
        <w:rPr>
          <w:rFonts w:ascii="Calibri" w:cs="Calibri" w:eastAsia="Calibri" w:hAnsi="Calibri"/>
          <w:color w:val="1A1A1A"/>
          <w:sz w:val="21"/>
          <w:szCs w:val="21"/>
        </w:rPr>
        <w:t xml:space="preserve">[ ] Health and immunization records</w:t>
      </w:r>
    </w:p>
    <w:p>
      <w:pPr>
        <w:pStyle w:val="ListParagraph"/>
        <w:numPr>
          <w:ilvl w:val="0"/>
          <w:numId w:val="2"/>
        </w:numPr>
        <w:spacing w:after="80"/>
      </w:pPr>
      <w:r>
        <w:rPr>
          <w:rFonts w:ascii="Calibri" w:cs="Calibri" w:eastAsia="Calibri" w:hAnsi="Calibri"/>
          <w:color w:val="1A1A1A"/>
          <w:sz w:val="21"/>
          <w:szCs w:val="21"/>
        </w:rPr>
        <w:t xml:space="preserve">[ ] Financial records (billing, banking details, payment card data)</w:t>
      </w:r>
    </w:p>
    <w:p>
      <w:pPr>
        <w:pStyle w:val="ListParagraph"/>
        <w:numPr>
          <w:ilvl w:val="0"/>
          <w:numId w:val="2"/>
        </w:numPr>
        <w:spacing w:after="80"/>
      </w:pPr>
      <w:r>
        <w:rPr>
          <w:rFonts w:ascii="Calibri" w:cs="Calibri" w:eastAsia="Calibri" w:hAnsi="Calibri"/>
          <w:color w:val="1A1A1A"/>
          <w:sz w:val="21"/>
          <w:szCs w:val="21"/>
        </w:rPr>
        <w:t xml:space="preserve">[ ] Credentials (usernames, passwords, MFA seeds, keys held or managed for Client)</w:t>
      </w:r>
    </w:p>
    <w:p>
      <w:pPr>
        <w:pStyle w:val="ListParagraph"/>
        <w:numPr>
          <w:ilvl w:val="0"/>
          <w:numId w:val="2"/>
        </w:numPr>
        <w:spacing w:after="80"/>
      </w:pPr>
      <w:r>
        <w:rPr>
          <w:rFonts w:ascii="Calibri" w:cs="Calibri" w:eastAsia="Calibri" w:hAnsi="Calibri"/>
          <w:color w:val="1A1A1A"/>
          <w:sz w:val="21"/>
          <w:szCs w:val="21"/>
        </w:rPr>
        <w:t xml:space="preserve">[ ] Other: [describe]</w:t>
      </w:r>
    </w:p>
    <w:p>
      <w:pPr>
        <w:pStyle w:val="Heading1"/>
        <w:spacing w:after="120" w:before="280"/>
      </w:pPr>
      <w:r>
        <w:rPr>
          <w:rFonts w:ascii="Calibri" w:cs="Calibri" w:eastAsia="Calibri" w:hAnsi="Calibri"/>
          <w:b/>
          <w:bCs/>
          <w:color w:val="E57D31"/>
          <w:sz w:val="26"/>
          <w:szCs w:val="26"/>
        </w:rPr>
        <w:t xml:space="preserve">3. Permitted Processing</w:t>
      </w:r>
    </w:p>
    <w:p>
      <w:pPr>
        <w:spacing w:after="120"/>
      </w:pPr>
      <w:r>
        <w:rPr>
          <w:rFonts w:ascii="Calibri" w:cs="Calibri" w:eastAsia="Calibri" w:hAnsi="Calibri"/>
          <w:color w:val="1A1A1A"/>
          <w:sz w:val="21"/>
          <w:szCs w:val="21"/>
        </w:rPr>
        <w:t xml:space="preserve">Provider handles Covered Data only as needed to deliver the services under the MSA and its Orders and SOWs, to comply with law, or as Client instructs in writing. Provider does not sell Covered Data, does not use it for advertising, and does not use it for any purpose unrelated to the services. Provider limits access to Covered Data to the people and tools that need it to do the work.</w:t>
      </w:r>
    </w:p>
    <w:p>
      <w:pPr>
        <w:pStyle w:val="Heading1"/>
        <w:spacing w:after="120" w:before="280"/>
      </w:pPr>
      <w:r>
        <w:rPr>
          <w:rFonts w:ascii="Calibri" w:cs="Calibri" w:eastAsia="Calibri" w:hAnsi="Calibri"/>
          <w:b/>
          <w:bCs/>
          <w:color w:val="E57D31"/>
          <w:sz w:val="26"/>
          <w:szCs w:val="26"/>
        </w:rPr>
        <w:t xml:space="preserve">4. Security Measures</w:t>
      </w:r>
    </w:p>
    <w:p>
      <w:pPr>
        <w:spacing w:after="120"/>
      </w:pPr>
      <w:r>
        <w:rPr>
          <w:rFonts w:ascii="Calibri" w:cs="Calibri" w:eastAsia="Calibri" w:hAnsi="Calibri"/>
          <w:color w:val="1A1A1A"/>
          <w:sz w:val="21"/>
          <w:szCs w:val="21"/>
        </w:rPr>
        <w:t xml:space="preserve">Provider protects Covered Data with measures that include:</w:t>
      </w:r>
    </w:p>
    <w:p>
      <w:pPr>
        <w:pStyle w:val="ListParagraph"/>
        <w:numPr>
          <w:ilvl w:val="0"/>
          <w:numId w:val="2"/>
        </w:numPr>
        <w:spacing w:after="80"/>
      </w:pPr>
      <w:r>
        <w:rPr>
          <w:rFonts w:ascii="Calibri" w:cs="Calibri" w:eastAsia="Calibri" w:hAnsi="Calibri"/>
          <w:color w:val="1A1A1A"/>
          <w:sz w:val="21"/>
          <w:szCs w:val="21"/>
        </w:rPr>
        <w:t xml:space="preserve">Access controls and multi-factor authentication on Provider's accounts and tools that reach Client's environment.</w:t>
      </w:r>
    </w:p>
    <w:p>
      <w:pPr>
        <w:pStyle w:val="ListParagraph"/>
        <w:numPr>
          <w:ilvl w:val="0"/>
          <w:numId w:val="2"/>
        </w:numPr>
        <w:spacing w:after="80"/>
      </w:pPr>
      <w:r>
        <w:rPr>
          <w:rFonts w:ascii="Calibri" w:cs="Calibri" w:eastAsia="Calibri" w:hAnsi="Calibri"/>
          <w:color w:val="1A1A1A"/>
          <w:sz w:val="21"/>
          <w:szCs w:val="21"/>
        </w:rPr>
        <w:t xml:space="preserve">Encryption of Covered Data in transit, and at rest where the platform supports it.</w:t>
      </w:r>
    </w:p>
    <w:p>
      <w:pPr>
        <w:pStyle w:val="ListParagraph"/>
        <w:numPr>
          <w:ilvl w:val="0"/>
          <w:numId w:val="2"/>
        </w:numPr>
        <w:spacing w:after="80"/>
      </w:pPr>
      <w:r>
        <w:rPr>
          <w:rFonts w:ascii="Calibri" w:cs="Calibri" w:eastAsia="Calibri" w:hAnsi="Calibri"/>
          <w:color w:val="1A1A1A"/>
          <w:sz w:val="21"/>
          <w:szCs w:val="21"/>
        </w:rPr>
        <w:t xml:space="preserve">Least-privilege administration: Provider staff use the minimum access level the task requires, and administrative credentials are unique, vaulted, and not shared.</w:t>
      </w:r>
    </w:p>
    <w:p>
      <w:pPr>
        <w:pStyle w:val="ListParagraph"/>
        <w:numPr>
          <w:ilvl w:val="0"/>
          <w:numId w:val="2"/>
        </w:numPr>
        <w:spacing w:after="80"/>
      </w:pPr>
      <w:r>
        <w:rPr>
          <w:rFonts w:ascii="Calibri" w:cs="Calibri" w:eastAsia="Calibri" w:hAnsi="Calibri"/>
          <w:color w:val="1A1A1A"/>
          <w:sz w:val="21"/>
          <w:szCs w:val="21"/>
        </w:rPr>
        <w:t xml:space="preserve">Patching, monitoring, and backup practices per Provider's maintenance standards for covered systems.</w:t>
      </w:r>
    </w:p>
    <w:p>
      <w:pPr>
        <w:pStyle w:val="ListParagraph"/>
        <w:numPr>
          <w:ilvl w:val="0"/>
          <w:numId w:val="2"/>
        </w:numPr>
        <w:spacing w:after="80"/>
      </w:pPr>
      <w:r>
        <w:rPr>
          <w:rFonts w:ascii="Calibri" w:cs="Calibri" w:eastAsia="Calibri" w:hAnsi="Calibri"/>
          <w:color w:val="1A1A1A"/>
          <w:sz w:val="21"/>
          <w:szCs w:val="21"/>
        </w:rPr>
        <w:t xml:space="preserve">Confidentiality obligations binding everyone Provider allows to touch Covered Data, including any subcontractors, at least as protective as the MSA's confidentiality terms.</w:t>
      </w:r>
    </w:p>
    <w:p>
      <w:pPr>
        <w:spacing w:after="120"/>
      </w:pPr>
      <w:r>
        <w:rPr>
          <w:rFonts w:ascii="Calibri" w:cs="Calibri" w:eastAsia="Calibri" w:hAnsi="Calibri"/>
          <w:color w:val="1A1A1A"/>
          <w:sz w:val="21"/>
          <w:szCs w:val="21"/>
        </w:rPr>
        <w:t xml:space="preserve">Provider keeps these measures current as tools and threats change; changes will not materially weaken the protection of Covered Data.</w:t>
      </w:r>
    </w:p>
    <w:p>
      <w:pPr>
        <w:pStyle w:val="Heading1"/>
        <w:spacing w:after="120" w:before="280"/>
      </w:pPr>
      <w:r>
        <w:rPr>
          <w:rFonts w:ascii="Calibri" w:cs="Calibri" w:eastAsia="Calibri" w:hAnsi="Calibri"/>
          <w:b/>
          <w:bCs/>
          <w:color w:val="E57D31"/>
          <w:sz w:val="26"/>
          <w:szCs w:val="26"/>
        </w:rPr>
        <w:t xml:space="preserve">5. Subprocessors</w:t>
      </w:r>
    </w:p>
    <w:p>
      <w:pPr>
        <w:spacing w:after="120"/>
      </w:pPr>
      <w:r>
        <w:rPr>
          <w:rFonts w:ascii="Calibri" w:cs="Calibri" w:eastAsia="Calibri" w:hAnsi="Calibri"/>
          <w:color w:val="1A1A1A"/>
          <w:sz w:val="21"/>
          <w:szCs w:val="21"/>
        </w:rPr>
        <w:t xml:space="preserve">Provider uses the third-party tools below to deliver the services, and they technically touch Covered Data in the ways described. Provider will notify Client in writing before adding or replacing a subprocessor that touches Covered Data; if Client reasonably objects on data-protection grounds, the parties will work in good faith to resolve the objection.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800"/>
        <w:gridCol w:w="4220"/>
      </w:tblGrid>
      <w:tr>
        <w:tc>
          <w:tcPr>
            <w:tcW w:type="dxa" w:w="2340"/>
            <w:shd w:fill="FDF0E6" w:val="clear"/>
            <w:tcMar>
              <w:top w:type="dxa" w:w="60"/>
              <w:left w:type="dxa" w:w="100"/>
              <w:bottom w:type="dxa" w:w="60"/>
              <w:right w:type="dxa" w:w="100"/>
            </w:tcMar>
          </w:tcPr>
          <w:p>
            <w:r>
              <w:rPr>
                <w:rFonts w:ascii="Calibri" w:cs="Calibri" w:eastAsia="Calibri" w:hAnsi="Calibri"/>
                <w:b/>
                <w:bCs/>
                <w:color w:val="1A1A1A"/>
                <w:sz w:val="20"/>
                <w:szCs w:val="20"/>
              </w:rPr>
              <w:t xml:space="preserve">Function</w:t>
            </w:r>
          </w:p>
        </w:tc>
        <w:tc>
          <w:tcPr>
            <w:tcW w:type="dxa" w:w="2800"/>
            <w:shd w:fill="FDF0E6" w:val="clear"/>
            <w:tcMar>
              <w:top w:type="dxa" w:w="60"/>
              <w:left w:type="dxa" w:w="100"/>
              <w:bottom w:type="dxa" w:w="60"/>
              <w:right w:type="dxa" w:w="100"/>
            </w:tcMar>
          </w:tcPr>
          <w:p>
            <w:r>
              <w:rPr>
                <w:rFonts w:ascii="Calibri" w:cs="Calibri" w:eastAsia="Calibri" w:hAnsi="Calibri"/>
                <w:b/>
                <w:bCs/>
                <w:color w:val="1A1A1A"/>
                <w:sz w:val="20"/>
                <w:szCs w:val="20"/>
              </w:rPr>
              <w:t xml:space="preserve">Vendor</w:t>
            </w:r>
          </w:p>
        </w:tc>
        <w:tc>
          <w:tcPr>
            <w:tcW w:type="dxa" w:w="4220"/>
            <w:shd w:fill="FDF0E6" w:val="clear"/>
            <w:tcMar>
              <w:top w:type="dxa" w:w="60"/>
              <w:left w:type="dxa" w:w="100"/>
              <w:bottom w:type="dxa" w:w="60"/>
              <w:right w:type="dxa" w:w="100"/>
            </w:tcMar>
          </w:tcPr>
          <w:p>
            <w:r>
              <w:rPr>
                <w:rFonts w:ascii="Calibri" w:cs="Calibri" w:eastAsia="Calibri" w:hAnsi="Calibri"/>
                <w:b/>
                <w:bCs/>
                <w:color w:val="1A1A1A"/>
                <w:sz w:val="20"/>
                <w:szCs w:val="20"/>
              </w:rPr>
              <w:t xml:space="preserve">What it touches</w:t>
            </w:r>
          </w:p>
        </w:tc>
      </w:tr>
      <w:tr>
        <w:tc>
          <w:tcPr>
            <w:tcW w:type="dxa" w:w="2340"/>
            <w:tcMar>
              <w:top w:type="dxa" w:w="60"/>
              <w:left w:type="dxa" w:w="100"/>
              <w:bottom w:type="dxa" w:w="60"/>
              <w:right w:type="dxa" w:w="100"/>
            </w:tcMar>
          </w:tcPr>
          <w:p>
            <w:r>
              <w:rPr>
                <w:rFonts w:ascii="Calibri" w:cs="Calibri" w:eastAsia="Calibri" w:hAnsi="Calibri"/>
                <w:b w:val="false"/>
                <w:bCs w:val="false"/>
                <w:color w:val="1A1A1A"/>
                <w:sz w:val="20"/>
                <w:szCs w:val="20"/>
              </w:rPr>
              <w:t xml:space="preserve">Remote monitoring and management (RMM)</w:t>
            </w:r>
          </w:p>
        </w:tc>
        <w:tc>
          <w:tcPr>
            <w:tcW w:type="dxa" w:w="2800"/>
            <w:tcMar>
              <w:top w:type="dxa" w:w="60"/>
              <w:left w:type="dxa" w:w="100"/>
              <w:bottom w:type="dxa" w:w="60"/>
              <w:right w:type="dxa" w:w="100"/>
            </w:tcMar>
          </w:tcPr>
          <w:p>
            <w:r>
              <w:rPr>
                <w:rFonts w:ascii="Calibri" w:cs="Calibri" w:eastAsia="Calibri" w:hAnsi="Calibri"/>
                <w:b w:val="false"/>
                <w:bCs w:val="false"/>
                <w:color w:val="1A1A1A"/>
                <w:sz w:val="20"/>
                <w:szCs w:val="20"/>
              </w:rPr>
              <w:t xml:space="preserve">[vendor]</w:t>
            </w:r>
          </w:p>
        </w:tc>
        <w:tc>
          <w:tcPr>
            <w:tcW w:type="dxa" w:w="4220"/>
            <w:tcMar>
              <w:top w:type="dxa" w:w="60"/>
              <w:left w:type="dxa" w:w="100"/>
              <w:bottom w:type="dxa" w:w="60"/>
              <w:right w:type="dxa" w:w="100"/>
            </w:tcMar>
          </w:tcPr>
          <w:p>
            <w:r>
              <w:rPr>
                <w:rFonts w:ascii="Calibri" w:cs="Calibri" w:eastAsia="Calibri" w:hAnsi="Calibri"/>
                <w:b w:val="false"/>
                <w:bCs w:val="false"/>
                <w:color w:val="1A1A1A"/>
                <w:sz w:val="20"/>
                <w:szCs w:val="20"/>
              </w:rPr>
              <w:t xml:space="preserve">Remote access to covered devices; system inventory and logs</w:t>
            </w:r>
          </w:p>
        </w:tc>
      </w:tr>
      <w:tr>
        <w:tc>
          <w:tcPr>
            <w:tcW w:type="dxa" w:w="2340"/>
            <w:tcMar>
              <w:top w:type="dxa" w:w="60"/>
              <w:left w:type="dxa" w:w="100"/>
              <w:bottom w:type="dxa" w:w="60"/>
              <w:right w:type="dxa" w:w="100"/>
            </w:tcMar>
          </w:tcPr>
          <w:p>
            <w:r>
              <w:rPr>
                <w:rFonts w:ascii="Calibri" w:cs="Calibri" w:eastAsia="Calibri" w:hAnsi="Calibri"/>
                <w:b w:val="false"/>
                <w:bCs w:val="false"/>
                <w:color w:val="1A1A1A"/>
                <w:sz w:val="20"/>
                <w:szCs w:val="20"/>
              </w:rPr>
              <w:t xml:space="preserve">Backup</w:t>
            </w:r>
          </w:p>
        </w:tc>
        <w:tc>
          <w:tcPr>
            <w:tcW w:type="dxa" w:w="2800"/>
            <w:tcMar>
              <w:top w:type="dxa" w:w="60"/>
              <w:left w:type="dxa" w:w="100"/>
              <w:bottom w:type="dxa" w:w="60"/>
              <w:right w:type="dxa" w:w="100"/>
            </w:tcMar>
          </w:tcPr>
          <w:p>
            <w:r>
              <w:rPr>
                <w:rFonts w:ascii="Calibri" w:cs="Calibri" w:eastAsia="Calibri" w:hAnsi="Calibri"/>
                <w:b w:val="false"/>
                <w:bCs w:val="false"/>
                <w:color w:val="1A1A1A"/>
                <w:sz w:val="20"/>
                <w:szCs w:val="20"/>
              </w:rPr>
              <w:t xml:space="preserve">[vendor]</w:t>
            </w:r>
          </w:p>
        </w:tc>
        <w:tc>
          <w:tcPr>
            <w:tcW w:type="dxa" w:w="4220"/>
            <w:tcMar>
              <w:top w:type="dxa" w:w="60"/>
              <w:left w:type="dxa" w:w="100"/>
              <w:bottom w:type="dxa" w:w="60"/>
              <w:right w:type="dxa" w:w="100"/>
            </w:tcMar>
          </w:tcPr>
          <w:p>
            <w:r>
              <w:rPr>
                <w:rFonts w:ascii="Calibri" w:cs="Calibri" w:eastAsia="Calibri" w:hAnsi="Calibri"/>
                <w:b w:val="false"/>
                <w:bCs w:val="false"/>
                <w:color w:val="1A1A1A"/>
                <w:sz w:val="20"/>
                <w:szCs w:val="20"/>
              </w:rPr>
              <w:t xml:space="preserve">Copies of covered files, mailboxes, and servers</w:t>
            </w:r>
          </w:p>
        </w:tc>
      </w:tr>
      <w:tr>
        <w:tc>
          <w:tcPr>
            <w:tcW w:type="dxa" w:w="2340"/>
            <w:tcMar>
              <w:top w:type="dxa" w:w="60"/>
              <w:left w:type="dxa" w:w="100"/>
              <w:bottom w:type="dxa" w:w="60"/>
              <w:right w:type="dxa" w:w="100"/>
            </w:tcMar>
          </w:tcPr>
          <w:p>
            <w:r>
              <w:rPr>
                <w:rFonts w:ascii="Calibri" w:cs="Calibri" w:eastAsia="Calibri" w:hAnsi="Calibri"/>
                <w:b w:val="false"/>
                <w:bCs w:val="false"/>
                <w:color w:val="1A1A1A"/>
                <w:sz w:val="20"/>
                <w:szCs w:val="20"/>
              </w:rPr>
              <w:t xml:space="preserve">Email security</w:t>
            </w:r>
          </w:p>
        </w:tc>
        <w:tc>
          <w:tcPr>
            <w:tcW w:type="dxa" w:w="2800"/>
            <w:tcMar>
              <w:top w:type="dxa" w:w="60"/>
              <w:left w:type="dxa" w:w="100"/>
              <w:bottom w:type="dxa" w:w="60"/>
              <w:right w:type="dxa" w:w="100"/>
            </w:tcMar>
          </w:tcPr>
          <w:p>
            <w:r>
              <w:rPr>
                <w:rFonts w:ascii="Calibri" w:cs="Calibri" w:eastAsia="Calibri" w:hAnsi="Calibri"/>
                <w:b w:val="false"/>
                <w:bCs w:val="false"/>
                <w:color w:val="1A1A1A"/>
                <w:sz w:val="20"/>
                <w:szCs w:val="20"/>
              </w:rPr>
              <w:t xml:space="preserve">[vendor]</w:t>
            </w:r>
          </w:p>
        </w:tc>
        <w:tc>
          <w:tcPr>
            <w:tcW w:type="dxa" w:w="4220"/>
            <w:tcMar>
              <w:top w:type="dxa" w:w="60"/>
              <w:left w:type="dxa" w:w="100"/>
              <w:bottom w:type="dxa" w:w="60"/>
              <w:right w:type="dxa" w:w="100"/>
            </w:tcMar>
          </w:tcPr>
          <w:p>
            <w:r>
              <w:rPr>
                <w:rFonts w:ascii="Calibri" w:cs="Calibri" w:eastAsia="Calibri" w:hAnsi="Calibri"/>
                <w:b w:val="false"/>
                <w:bCs w:val="false"/>
                <w:color w:val="1A1A1A"/>
                <w:sz w:val="20"/>
                <w:szCs w:val="20"/>
              </w:rPr>
              <w:t xml:space="preserve">Scans mail flow, including message content, for threats</w:t>
            </w:r>
          </w:p>
        </w:tc>
      </w:tr>
      <w:tr>
        <w:tc>
          <w:tcPr>
            <w:tcW w:type="dxa" w:w="2340"/>
            <w:tcMar>
              <w:top w:type="dxa" w:w="60"/>
              <w:left w:type="dxa" w:w="100"/>
              <w:bottom w:type="dxa" w:w="60"/>
              <w:right w:type="dxa" w:w="100"/>
            </w:tcMar>
          </w:tcPr>
          <w:p>
            <w:r>
              <w:rPr>
                <w:rFonts w:ascii="Calibri" w:cs="Calibri" w:eastAsia="Calibri" w:hAnsi="Calibri"/>
                <w:b w:val="false"/>
                <w:bCs w:val="false"/>
                <w:color w:val="1A1A1A"/>
                <w:sz w:val="20"/>
                <w:szCs w:val="20"/>
              </w:rPr>
              <w:t xml:space="preserve">Endpoint protection</w:t>
            </w:r>
          </w:p>
        </w:tc>
        <w:tc>
          <w:tcPr>
            <w:tcW w:type="dxa" w:w="2800"/>
            <w:tcMar>
              <w:top w:type="dxa" w:w="60"/>
              <w:left w:type="dxa" w:w="100"/>
              <w:bottom w:type="dxa" w:w="60"/>
              <w:right w:type="dxa" w:w="100"/>
            </w:tcMar>
          </w:tcPr>
          <w:p>
            <w:r>
              <w:rPr>
                <w:rFonts w:ascii="Calibri" w:cs="Calibri" w:eastAsia="Calibri" w:hAnsi="Calibri"/>
                <w:b w:val="false"/>
                <w:bCs w:val="false"/>
                <w:color w:val="1A1A1A"/>
                <w:sz w:val="20"/>
                <w:szCs w:val="20"/>
              </w:rPr>
              <w:t xml:space="preserve">[vendor]</w:t>
            </w:r>
          </w:p>
        </w:tc>
        <w:tc>
          <w:tcPr>
            <w:tcW w:type="dxa" w:w="4220"/>
            <w:tcMar>
              <w:top w:type="dxa" w:w="60"/>
              <w:left w:type="dxa" w:w="100"/>
              <w:bottom w:type="dxa" w:w="60"/>
              <w:right w:type="dxa" w:w="100"/>
            </w:tcMar>
          </w:tcPr>
          <w:p>
            <w:r>
              <w:rPr>
                <w:rFonts w:ascii="Calibri" w:cs="Calibri" w:eastAsia="Calibri" w:hAnsi="Calibri"/>
                <w:b w:val="false"/>
                <w:bCs w:val="false"/>
                <w:color w:val="1A1A1A"/>
                <w:sz w:val="20"/>
                <w:szCs w:val="20"/>
              </w:rPr>
              <w:t xml:space="preserve">File and process activity on covered devices</w:t>
            </w:r>
          </w:p>
        </w:tc>
      </w:tr>
      <w:tr>
        <w:tc>
          <w:tcPr>
            <w:tcW w:type="dxa" w:w="2340"/>
            <w:tcMar>
              <w:top w:type="dxa" w:w="60"/>
              <w:left w:type="dxa" w:w="100"/>
              <w:bottom w:type="dxa" w:w="60"/>
              <w:right w:type="dxa" w:w="100"/>
            </w:tcMar>
          </w:tcPr>
          <w:p>
            <w:r>
              <w:rPr>
                <w:rFonts w:ascii="Calibri" w:cs="Calibri" w:eastAsia="Calibri" w:hAnsi="Calibri"/>
                <w:b w:val="false"/>
                <w:bCs w:val="false"/>
                <w:color w:val="1A1A1A"/>
                <w:sz w:val="20"/>
                <w:szCs w:val="20"/>
              </w:rPr>
              <w:t xml:space="preserve">Password vault</w:t>
            </w:r>
          </w:p>
        </w:tc>
        <w:tc>
          <w:tcPr>
            <w:tcW w:type="dxa" w:w="2800"/>
            <w:tcMar>
              <w:top w:type="dxa" w:w="60"/>
              <w:left w:type="dxa" w:w="100"/>
              <w:bottom w:type="dxa" w:w="60"/>
              <w:right w:type="dxa" w:w="100"/>
            </w:tcMar>
          </w:tcPr>
          <w:p>
            <w:r>
              <w:rPr>
                <w:rFonts w:ascii="Calibri" w:cs="Calibri" w:eastAsia="Calibri" w:hAnsi="Calibri"/>
                <w:b w:val="false"/>
                <w:bCs w:val="false"/>
                <w:color w:val="1A1A1A"/>
                <w:sz w:val="20"/>
                <w:szCs w:val="20"/>
              </w:rPr>
              <w:t xml:space="preserve">[vendor]</w:t>
            </w:r>
          </w:p>
        </w:tc>
        <w:tc>
          <w:tcPr>
            <w:tcW w:type="dxa" w:w="4220"/>
            <w:tcMar>
              <w:top w:type="dxa" w:w="60"/>
              <w:left w:type="dxa" w:w="100"/>
              <w:bottom w:type="dxa" w:w="60"/>
              <w:right w:type="dxa" w:w="100"/>
            </w:tcMar>
          </w:tcPr>
          <w:p>
            <w:r>
              <w:rPr>
                <w:rFonts w:ascii="Calibri" w:cs="Calibri" w:eastAsia="Calibri" w:hAnsi="Calibri"/>
                <w:b w:val="false"/>
                <w:bCs w:val="false"/>
                <w:color w:val="1A1A1A"/>
                <w:sz w:val="20"/>
                <w:szCs w:val="20"/>
              </w:rPr>
              <w:t xml:space="preserve">Credentials Provider holds or manages for Client</w:t>
            </w:r>
          </w:p>
        </w:tc>
      </w:tr>
      <w:tr>
        <w:tc>
          <w:tcPr>
            <w:tcW w:type="dxa" w:w="2340"/>
            <w:tcMar>
              <w:top w:type="dxa" w:w="60"/>
              <w:left w:type="dxa" w:w="100"/>
              <w:bottom w:type="dxa" w:w="60"/>
              <w:right w:type="dxa" w:w="100"/>
            </w:tcMar>
          </w:tcPr>
          <w:p>
            <w:r>
              <w:rPr>
                <w:rFonts w:ascii="Calibri" w:cs="Calibri" w:eastAsia="Calibri" w:hAnsi="Calibri"/>
                <w:b w:val="false"/>
                <w:bCs w:val="false"/>
                <w:color w:val="1A1A1A"/>
                <w:sz w:val="20"/>
                <w:szCs w:val="20"/>
              </w:rPr>
              <w:t xml:space="preserve">AI-assisted tooling</w:t>
            </w:r>
          </w:p>
        </w:tc>
        <w:tc>
          <w:tcPr>
            <w:tcW w:type="dxa" w:w="2800"/>
            <w:tcMar>
              <w:top w:type="dxa" w:w="60"/>
              <w:left w:type="dxa" w:w="100"/>
              <w:bottom w:type="dxa" w:w="60"/>
              <w:right w:type="dxa" w:w="100"/>
            </w:tcMar>
          </w:tcPr>
          <w:p>
            <w:r>
              <w:rPr>
                <w:rFonts w:ascii="Calibri" w:cs="Calibri" w:eastAsia="Calibri" w:hAnsi="Calibri"/>
                <w:b w:val="false"/>
                <w:bCs w:val="false"/>
                <w:color w:val="1A1A1A"/>
                <w:sz w:val="20"/>
                <w:szCs w:val="20"/>
              </w:rPr>
              <w:t xml:space="preserve">[vendor(s)]</w:t>
            </w:r>
          </w:p>
        </w:tc>
        <w:tc>
          <w:tcPr>
            <w:tcW w:type="dxa" w:w="4220"/>
            <w:tcMar>
              <w:top w:type="dxa" w:w="60"/>
              <w:left w:type="dxa" w:w="100"/>
              <w:bottom w:type="dxa" w:w="60"/>
              <w:right w:type="dxa" w:w="100"/>
            </w:tcMar>
          </w:tcPr>
          <w:p>
            <w:r>
              <w:rPr>
                <w:rFonts w:ascii="Calibri" w:cs="Calibri" w:eastAsia="Calibri" w:hAnsi="Calibri"/>
                <w:b w:val="false"/>
                <w:bCs w:val="false"/>
                <w:color w:val="1A1A1A"/>
                <w:sz w:val="20"/>
                <w:szCs w:val="20"/>
              </w:rPr>
              <w:t xml:space="preserve">Provider uses AI tools to assist service delivery (documentation, scripting, troubleshooting); Client data handling by such tools is limited per Provider's configurations</w:t>
            </w:r>
          </w:p>
        </w:tc>
      </w:tr>
    </w:tbl>
    <w:p>
      <w:pPr>
        <w:spacing w:after="120"/>
      </w:pPr>
      <w:r>
        <w:rPr>
          <w:rFonts w:ascii="Calibri" w:cs="Calibri" w:eastAsia="Calibri" w:hAnsi="Calibri"/>
          <w:color w:val="1A1A1A"/>
          <w:sz w:val="21"/>
          <w:szCs w:val="21"/>
        </w:rPr>
        <w:t xml:space="preserve"/>
      </w:r>
    </w:p>
    <w:p>
      <w:pPr>
        <w:spacing w:after="120"/>
      </w:pPr>
      <w:r>
        <w:rPr>
          <w:rFonts w:ascii="Calibri" w:cs="Calibri" w:eastAsia="Calibri" w:hAnsi="Calibri"/>
          <w:color w:val="1A1A1A"/>
          <w:sz w:val="21"/>
          <w:szCs w:val="21"/>
        </w:rPr>
        <w:t xml:space="preserve">The current subprocessor list for this Client, with vendor names filled in, is kept in Schedule 1 and updated as notices are given.</w:t>
      </w:r>
    </w:p>
    <w:p>
      <w:pPr>
        <w:pStyle w:val="Heading1"/>
        <w:spacing w:after="120" w:before="280"/>
      </w:pPr>
      <w:r>
        <w:rPr>
          <w:rFonts w:ascii="Calibri" w:cs="Calibri" w:eastAsia="Calibri" w:hAnsi="Calibri"/>
          <w:b/>
          <w:bCs/>
          <w:color w:val="E57D31"/>
          <w:sz w:val="26"/>
          <w:szCs w:val="26"/>
        </w:rPr>
        <w:t xml:space="preserve">6. Breach Notification</w:t>
      </w:r>
    </w:p>
    <w:p>
      <w:pPr>
        <w:spacing w:after="120"/>
      </w:pPr>
      <w:r>
        <w:rPr>
          <w:rFonts w:ascii="Calibri" w:cs="Calibri" w:eastAsia="Calibri" w:hAnsi="Calibri"/>
          <w:color w:val="1A1A1A"/>
          <w:sz w:val="21"/>
          <w:szCs w:val="21"/>
        </w:rPr>
        <w:t xml:space="preserve">If Provider confirms a security incident affecting Covered Data (unauthorized access, disclosure, loss, or destruction), Provider will notify Client without undue delay and no later than [72] hours after confirming it. The notice will describe what happened, what data is affected as far as known, and what Provider is doing about it, with updates as the investigation progresses.</w:t>
      </w:r>
    </w:p>
    <w:p>
      <w:pPr>
        <w:spacing w:after="120"/>
      </w:pPr>
      <w:r>
        <w:rPr>
          <w:rFonts w:ascii="Calibri" w:cs="Calibri" w:eastAsia="Calibri" w:hAnsi="Calibri"/>
          <w:color w:val="1A1A1A"/>
          <w:sz w:val="21"/>
          <w:szCs w:val="21"/>
        </w:rPr>
        <w:t xml:space="preserve">Provider will reasonably cooperate with Client's own notification obligations to individuals, regulators, or licensing bodies. The parties note that {{STATE}}'s consumer breach notification law runs on a short statutory clock once a breach is determined, so prompt handoff of facts matters; Client remains responsible for its own legal notification decisions.</w:t>
      </w:r>
    </w:p>
    <w:p>
      <w:pPr>
        <w:spacing w:after="120"/>
      </w:pPr>
      <w:r>
        <w:rPr>
          <w:rFonts w:ascii="Calibri" w:cs="Calibri" w:eastAsia="Calibri" w:hAnsi="Calibri"/>
          <w:color w:val="1A1A1A"/>
          <w:sz w:val="21"/>
          <w:szCs w:val="21"/>
        </w:rPr>
        <w:t xml:space="preserve">Notification is not an admission of fault. Responsibility and cost allocation for an incident follow the MSA, including its ransomware and security cost-allocation provisions and its negligence carveouts.</w:t>
      </w:r>
    </w:p>
    <w:p>
      <w:pPr>
        <w:pStyle w:val="Heading1"/>
        <w:spacing w:after="120" w:before="280"/>
      </w:pPr>
      <w:r>
        <w:rPr>
          <w:rFonts w:ascii="Calibri" w:cs="Calibri" w:eastAsia="Calibri" w:hAnsi="Calibri"/>
          <w:b/>
          <w:bCs/>
          <w:color w:val="E57D31"/>
          <w:sz w:val="26"/>
          <w:szCs w:val="26"/>
        </w:rPr>
        <w:t xml:space="preserve">7. Data Return and Deletion</w:t>
      </w:r>
    </w:p>
    <w:p>
      <w:pPr>
        <w:spacing w:after="120"/>
      </w:pPr>
      <w:r>
        <w:rPr>
          <w:rFonts w:ascii="Calibri" w:cs="Calibri" w:eastAsia="Calibri" w:hAnsi="Calibri"/>
          <w:color w:val="1A1A1A"/>
          <w:sz w:val="21"/>
          <w:szCs w:val="21"/>
        </w:rPr>
        <w:t xml:space="preserve">On termination of the MSA or the applicable Order, data handling follows Provider's offboarding standard: Provider returns Covered Data and transfers or hands off systems as provided in the MSA and the offboarding plan, retains Covered Data and backups for 60 days after offboarding completes to protect against transition gaps, and then deletes them and confirms the deletion to Client in writing. If Schedule 1 states a different retention period for a category of Covered Data because a regulation requires it, that period governs for that category.</w:t>
      </w:r>
    </w:p>
    <w:p>
      <w:pPr>
        <w:pStyle w:val="Heading1"/>
        <w:spacing w:after="120" w:before="280"/>
      </w:pPr>
      <w:r>
        <w:rPr>
          <w:rFonts w:ascii="Calibri" w:cs="Calibri" w:eastAsia="Calibri" w:hAnsi="Calibri"/>
          <w:b/>
          <w:bCs/>
          <w:color w:val="E57D31"/>
          <w:sz w:val="26"/>
          <w:szCs w:val="26"/>
        </w:rPr>
        <w:t xml:space="preserve">8. Liability</w:t>
      </w:r>
    </w:p>
    <w:p>
      <w:pPr>
        <w:spacing w:after="120"/>
      </w:pPr>
      <w:r>
        <w:rPr>
          <w:rFonts w:ascii="Calibri" w:cs="Calibri" w:eastAsia="Calibri" w:hAnsi="Calibri"/>
          <w:color w:val="1A1A1A"/>
          <w:sz w:val="21"/>
          <w:szCs w:val="21"/>
        </w:rPr>
        <w:t xml:space="preserve">This DPA does not expand either party's liability beyond the MSA. Claims arising under this DPA are subject to the MSA's limitation of liability, its claim period, and its other remedy terms, as if they arose under the MSA itself.</w:t>
      </w:r>
    </w:p>
    <w:p>
      <w:pPr>
        <w:pStyle w:val="Heading1"/>
        <w:spacing w:after="120" w:before="280"/>
      </w:pPr>
      <w:r>
        <w:rPr>
          <w:rFonts w:ascii="Calibri" w:cs="Calibri" w:eastAsia="Calibri" w:hAnsi="Calibri"/>
          <w:b/>
          <w:bCs/>
          <w:color w:val="E57D31"/>
          <w:sz w:val="26"/>
          <w:szCs w:val="26"/>
        </w:rPr>
        <w:t xml:space="preserve">9. Signatures</w:t>
      </w:r>
    </w:p>
    <w:p>
      <w:pPr>
        <w:spacing w:after="120"/>
      </w:pPr>
      <w:r>
        <w:rPr>
          <w:rFonts w:ascii="Calibri" w:cs="Calibri" w:eastAsia="Calibri" w:hAnsi="Calibri"/>
          <w:color w:val="1A1A1A"/>
          <w:sz w:val="21"/>
          <w:szCs w:val="21"/>
        </w:rPr>
        <w:t xml:space="preserve">This DPA takes effect when signed by both parties and continues as long as Provider handles Covered Data for Client. Signatures below may be electronic.</w:t>
      </w:r>
    </w:p>
    <w:p>
      <w:pPr>
        <w:spacing w:after="120"/>
      </w:pPr>
      <w:r>
        <w:rPr>
          <w:rFonts w:ascii="Calibri" w:cs="Calibri" w:eastAsia="Calibri" w:hAnsi="Calibri"/>
          <w:color w:val="1A1A1A"/>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shd w:fill="FDF0E6" w:val="clear"/>
            <w:tcMar>
              <w:top w:type="dxa" w:w="60"/>
              <w:left w:type="dxa" w:w="100"/>
              <w:bottom w:type="dxa" w:w="60"/>
              <w:right w:type="dxa" w:w="100"/>
            </w:tcMar>
          </w:tcPr>
          <w:p>
            <w:r>
              <w:rPr>
                <w:rFonts w:ascii="Calibri" w:cs="Calibri" w:eastAsia="Calibri" w:hAnsi="Calibri"/>
                <w:b/>
                <w:bCs/>
                <w:color w:val="1A1A1A"/>
                <w:sz w:val="20"/>
                <w:szCs w:val="20"/>
              </w:rPr>
              <w:t xml:space="preserve">{{COMPANY_LEGAL_NAME}} (Provider)</w:t>
            </w:r>
          </w:p>
        </w:tc>
        <w:tc>
          <w:tcPr>
            <w:tcW w:type="dxa" w:w="4680"/>
            <w:shd w:fill="FDF0E6" w:val="clear"/>
            <w:tcMar>
              <w:top w:type="dxa" w:w="60"/>
              <w:left w:type="dxa" w:w="100"/>
              <w:bottom w:type="dxa" w:w="60"/>
              <w:right w:type="dxa" w:w="100"/>
            </w:tcMar>
          </w:tcPr>
          <w:p>
            <w:r>
              <w:rPr>
                <w:rFonts w:ascii="Calibri" w:cs="Calibri" w:eastAsia="Calibri" w:hAnsi="Calibri"/>
                <w:b/>
                <w:bCs/>
                <w:color w:val="1A1A1A"/>
                <w:sz w:val="20"/>
                <w:szCs w:val="20"/>
              </w:rPr>
              <w:t xml:space="preserve">[Client legal name] (Client)</w:t>
            </w:r>
          </w:p>
        </w:tc>
      </w:tr>
      <w:tr>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Signature: _______________________</w:t>
            </w:r>
          </w:p>
        </w:tc>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Signature: _______________________</w:t>
            </w:r>
          </w:p>
        </w:tc>
      </w:tr>
      <w:tr>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Name: [___]</w:t>
            </w:r>
          </w:p>
        </w:tc>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Name: [___]</w:t>
            </w:r>
          </w:p>
        </w:tc>
      </w:tr>
      <w:tr>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Title: [___]</w:t>
            </w:r>
          </w:p>
        </w:tc>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Title: [___]</w:t>
            </w:r>
          </w:p>
        </w:tc>
      </w:tr>
      <w:tr>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Date: [___]</w:t>
            </w:r>
          </w:p>
        </w:tc>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Date: [___]</w:t>
            </w:r>
          </w:p>
        </w:tc>
      </w:tr>
    </w:tbl>
    <w:p>
      <w:pPr>
        <w:pStyle w:val="Heading1"/>
        <w:spacing w:after="120" w:before="280"/>
      </w:pPr>
      <w:r>
        <w:rPr>
          <w:rFonts w:ascii="Calibri" w:cs="Calibri" w:eastAsia="Calibri" w:hAnsi="Calibri"/>
          <w:b/>
          <w:bCs/>
          <w:color w:val="E57D31"/>
          <w:sz w:val="26"/>
          <w:szCs w:val="26"/>
        </w:rPr>
        <w:t xml:space="preserve">Schedule 1: Client-Specific Entries</w:t>
      </w:r>
    </w:p>
    <w:p>
      <w:pPr>
        <w:spacing w:after="120"/>
      </w:pPr>
      <w:r>
        <w:rPr>
          <w:rFonts w:ascii="Calibri" w:cs="Calibri" w:eastAsia="Calibri" w:hAnsi="Calibri"/>
          <w:color w:val="1A1A1A"/>
          <w:sz w:val="21"/>
          <w:szCs w:val="21"/>
        </w:rPr>
        <w:t xml:space="preserve">(a) Applicable regulatory frameworks (confirmed by counsel): [list]</w:t>
      </w:r>
    </w:p>
    <w:p>
      <w:pPr>
        <w:spacing w:after="120"/>
      </w:pPr>
      <w:r>
        <w:rPr>
          <w:rFonts w:ascii="Calibri" w:cs="Calibri" w:eastAsia="Calibri" w:hAnsi="Calibri"/>
          <w:color w:val="1A1A1A"/>
          <w:sz w:val="21"/>
          <w:szCs w:val="21"/>
        </w:rPr>
        <w:t xml:space="preserve">(b) Subprocessor list with vendor names, as of [date]: [list or "per the table in Section 5, with vendors as named"]</w:t>
      </w:r>
    </w:p>
    <w:p>
      <w:pPr>
        <w:spacing w:after="120"/>
      </w:pPr>
      <w:r>
        <w:rPr>
          <w:rFonts w:ascii="Calibri" w:cs="Calibri" w:eastAsia="Calibri" w:hAnsi="Calibri"/>
          <w:color w:val="1A1A1A"/>
          <w:sz w:val="21"/>
          <w:szCs w:val="21"/>
        </w:rPr>
        <w:t xml:space="preserve">(c) Regulatory retention overrides, if any (category of Covered Data and required retention period): [list or "None"]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start"/>
      <w:pPr>
        <w:ind w:left="3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2026-07-18T01:22:24.864Z</dcterms:created>
  <dcterms:modified xsi:type="dcterms:W3CDTF">2026-07-18T01:22:24.865Z</dcterms:modified>
</cp:coreProperties>
</file>

<file path=docProps/custom.xml><?xml version="1.0" encoding="utf-8"?>
<Properties xmlns="http://schemas.openxmlformats.org/officeDocument/2006/custom-properties" xmlns:vt="http://schemas.openxmlformats.org/officeDocument/2006/docPropsVTypes"/>
</file>